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80" w:firstLineChars="200"/>
        <w:rPr>
          <w:rFonts w:ascii="宋体" w:hAnsi="宋体" w:cs="宋体"/>
          <w:sz w:val="24"/>
          <w:highlight w:val="none"/>
        </w:rPr>
      </w:pPr>
    </w:p>
    <w:p>
      <w:pPr>
        <w:ind w:firstLine="480" w:firstLineChars="200"/>
        <w:rPr>
          <w:rFonts w:ascii="宋体" w:hAnsi="宋体" w:cs="宋体"/>
          <w:sz w:val="24"/>
          <w:highlight w:val="none"/>
        </w:rPr>
      </w:pPr>
    </w:p>
    <w:p>
      <w:pPr>
        <w:jc w:val="center"/>
        <w:rPr>
          <w:rFonts w:ascii="宋体" w:hAnsi="宋体" w:cs="宋体"/>
          <w:b/>
          <w:sz w:val="56"/>
          <w:szCs w:val="56"/>
          <w:highlight w:val="none"/>
        </w:rPr>
      </w:pPr>
      <w:r>
        <w:rPr>
          <w:rFonts w:hint="eastAsia" w:ascii="宋体" w:hAnsi="宋体" w:cs="宋体"/>
          <w:b/>
          <w:sz w:val="56"/>
          <w:szCs w:val="56"/>
          <w:highlight w:val="none"/>
        </w:rPr>
        <w:t>吉林省中部城市引松供水工程</w:t>
      </w:r>
    </w:p>
    <w:p>
      <w:pPr>
        <w:jc w:val="center"/>
        <w:rPr>
          <w:rFonts w:ascii="宋体" w:hAnsi="宋体" w:cs="宋体"/>
          <w:b/>
          <w:sz w:val="56"/>
          <w:szCs w:val="56"/>
          <w:highlight w:val="none"/>
        </w:rPr>
      </w:pPr>
      <w:r>
        <w:rPr>
          <w:rFonts w:hint="eastAsia" w:ascii="宋体" w:hAnsi="宋体" w:cs="宋体"/>
          <w:b/>
          <w:sz w:val="56"/>
          <w:szCs w:val="56"/>
          <w:highlight w:val="none"/>
        </w:rPr>
        <w:t>标准化管理咨询</w:t>
      </w:r>
    </w:p>
    <w:p>
      <w:pPr>
        <w:spacing w:line="440" w:lineRule="exact"/>
        <w:ind w:firstLine="800" w:firstLineChars="250"/>
        <w:rPr>
          <w:rFonts w:ascii="宋体" w:hAnsi="宋体" w:cs="宋体"/>
          <w:b/>
          <w:sz w:val="32"/>
          <w:szCs w:val="36"/>
          <w:highlight w:val="none"/>
        </w:rPr>
      </w:pPr>
    </w:p>
    <w:p>
      <w:pPr>
        <w:spacing w:line="440" w:lineRule="exact"/>
        <w:ind w:firstLine="800" w:firstLineChars="250"/>
        <w:rPr>
          <w:rFonts w:ascii="宋体" w:hAnsi="宋体" w:cs="宋体"/>
          <w:b/>
          <w:sz w:val="32"/>
          <w:szCs w:val="36"/>
          <w:highlight w:val="none"/>
        </w:rPr>
      </w:pPr>
    </w:p>
    <w:p>
      <w:pPr>
        <w:spacing w:line="440" w:lineRule="exact"/>
        <w:ind w:firstLine="800" w:firstLineChars="250"/>
        <w:rPr>
          <w:rFonts w:ascii="宋体" w:hAnsi="宋体" w:cs="宋体"/>
          <w:b/>
          <w:sz w:val="32"/>
          <w:szCs w:val="36"/>
          <w:highlight w:val="none"/>
        </w:rPr>
      </w:pPr>
    </w:p>
    <w:p>
      <w:pPr>
        <w:jc w:val="center"/>
        <w:rPr>
          <w:rFonts w:ascii="宋体" w:hAnsi="宋体" w:cs="宋体"/>
          <w:b/>
          <w:sz w:val="96"/>
          <w:szCs w:val="96"/>
          <w:highlight w:val="none"/>
        </w:rPr>
      </w:pPr>
    </w:p>
    <w:p>
      <w:pPr>
        <w:spacing w:line="480" w:lineRule="auto"/>
        <w:jc w:val="center"/>
        <w:rPr>
          <w:rFonts w:ascii="宋体" w:hAnsi="宋体" w:cs="宋体"/>
          <w:szCs w:val="21"/>
          <w:highlight w:val="none"/>
        </w:rPr>
      </w:pPr>
      <w:r>
        <w:rPr>
          <w:rFonts w:hint="eastAsia" w:ascii="宋体" w:hAnsi="宋体" w:cs="宋体"/>
          <w:b/>
          <w:sz w:val="96"/>
          <w:szCs w:val="96"/>
          <w:highlight w:val="none"/>
        </w:rPr>
        <w:t>比 选 文 件</w:t>
      </w:r>
    </w:p>
    <w:p>
      <w:pPr>
        <w:jc w:val="center"/>
        <w:rPr>
          <w:rFonts w:ascii="宋体" w:hAnsi="宋体" w:cs="宋体"/>
          <w:b/>
          <w:sz w:val="36"/>
          <w:szCs w:val="36"/>
          <w:highlight w:val="none"/>
        </w:rPr>
      </w:pPr>
    </w:p>
    <w:p>
      <w:pPr>
        <w:jc w:val="center"/>
        <w:rPr>
          <w:rFonts w:ascii="宋体" w:hAnsi="宋体" w:cs="宋体"/>
          <w:b/>
          <w:bCs/>
          <w:sz w:val="32"/>
          <w:szCs w:val="36"/>
          <w:highlight w:val="none"/>
        </w:rPr>
      </w:pPr>
      <w:r>
        <w:rPr>
          <w:rFonts w:hint="eastAsia" w:ascii="宋体" w:hAnsi="宋体" w:cs="宋体"/>
          <w:b/>
          <w:sz w:val="32"/>
          <w:szCs w:val="36"/>
          <w:highlight w:val="none"/>
        </w:rPr>
        <w:t>（合同编号：ZGZBDL2024004）</w:t>
      </w:r>
    </w:p>
    <w:p>
      <w:pPr>
        <w:rPr>
          <w:rFonts w:ascii="宋体" w:hAnsi="宋体" w:cs="宋体"/>
          <w:szCs w:val="21"/>
          <w:highlight w:val="none"/>
        </w:rPr>
      </w:pPr>
    </w:p>
    <w:p>
      <w:pPr>
        <w:spacing w:line="440" w:lineRule="exact"/>
        <w:ind w:firstLine="800" w:firstLineChars="250"/>
        <w:rPr>
          <w:rFonts w:ascii="宋体" w:hAnsi="宋体" w:cs="宋体"/>
          <w:b/>
          <w:sz w:val="32"/>
          <w:szCs w:val="36"/>
          <w:highlight w:val="none"/>
        </w:rPr>
      </w:pPr>
    </w:p>
    <w:p>
      <w:pPr>
        <w:spacing w:line="440" w:lineRule="exact"/>
        <w:ind w:firstLine="800" w:firstLineChars="250"/>
        <w:rPr>
          <w:rFonts w:ascii="宋体" w:hAnsi="宋体" w:cs="宋体"/>
          <w:b/>
          <w:sz w:val="32"/>
          <w:szCs w:val="36"/>
          <w:highlight w:val="none"/>
        </w:rPr>
      </w:pPr>
    </w:p>
    <w:p>
      <w:pPr>
        <w:pStyle w:val="14"/>
        <w:rPr>
          <w:highlight w:val="none"/>
        </w:rPr>
      </w:pPr>
    </w:p>
    <w:p>
      <w:pPr>
        <w:spacing w:line="440" w:lineRule="exact"/>
        <w:ind w:firstLine="800" w:firstLineChars="250"/>
        <w:rPr>
          <w:rFonts w:ascii="宋体" w:hAnsi="宋体" w:cs="宋体"/>
          <w:b/>
          <w:sz w:val="32"/>
          <w:szCs w:val="36"/>
          <w:highlight w:val="none"/>
        </w:rPr>
      </w:pPr>
    </w:p>
    <w:p>
      <w:pPr>
        <w:spacing w:line="440" w:lineRule="exact"/>
        <w:ind w:firstLine="800" w:firstLineChars="250"/>
        <w:rPr>
          <w:rFonts w:ascii="宋体" w:hAnsi="宋体" w:cs="宋体"/>
          <w:b/>
          <w:sz w:val="32"/>
          <w:szCs w:val="36"/>
          <w:highlight w:val="none"/>
        </w:rPr>
      </w:pPr>
    </w:p>
    <w:p>
      <w:pPr>
        <w:spacing w:line="480" w:lineRule="auto"/>
        <w:jc w:val="center"/>
        <w:rPr>
          <w:rFonts w:ascii="宋体" w:hAnsi="宋体" w:cs="宋体"/>
          <w:b/>
          <w:sz w:val="36"/>
          <w:szCs w:val="36"/>
          <w:highlight w:val="none"/>
        </w:rPr>
      </w:pPr>
    </w:p>
    <w:p>
      <w:pPr>
        <w:spacing w:line="480" w:lineRule="auto"/>
        <w:jc w:val="center"/>
        <w:rPr>
          <w:rFonts w:ascii="宋体" w:hAnsi="宋体" w:cs="宋体"/>
          <w:b/>
          <w:sz w:val="32"/>
          <w:szCs w:val="32"/>
          <w:highlight w:val="none"/>
        </w:rPr>
      </w:pPr>
      <w:r>
        <w:rPr>
          <w:rFonts w:hint="eastAsia" w:ascii="宋体" w:hAnsi="宋体" w:cs="宋体"/>
          <w:b/>
          <w:sz w:val="32"/>
          <w:szCs w:val="32"/>
          <w:highlight w:val="none"/>
        </w:rPr>
        <w:t>建设单位：吉林省城市供水有限公司</w:t>
      </w:r>
    </w:p>
    <w:p>
      <w:pPr>
        <w:spacing w:line="480" w:lineRule="auto"/>
        <w:jc w:val="center"/>
        <w:rPr>
          <w:rFonts w:ascii="宋体" w:hAnsi="宋体" w:cs="宋体"/>
          <w:b/>
          <w:sz w:val="32"/>
          <w:szCs w:val="32"/>
          <w:highlight w:val="none"/>
        </w:rPr>
      </w:pPr>
    </w:p>
    <w:p>
      <w:pPr>
        <w:spacing w:line="480" w:lineRule="auto"/>
        <w:jc w:val="center"/>
        <w:rPr>
          <w:rFonts w:ascii="宋体" w:hAnsi="宋体" w:cs="宋体"/>
          <w:b/>
          <w:sz w:val="32"/>
          <w:szCs w:val="32"/>
          <w:highlight w:val="none"/>
        </w:rPr>
      </w:pPr>
      <w:r>
        <w:rPr>
          <w:rFonts w:hint="eastAsia" w:ascii="宋体" w:hAnsi="宋体" w:cs="宋体"/>
          <w:b/>
          <w:sz w:val="32"/>
          <w:szCs w:val="32"/>
          <w:highlight w:val="none"/>
        </w:rPr>
        <w:t>代理人：法正项目管理集团有限公司</w:t>
      </w:r>
    </w:p>
    <w:p>
      <w:pPr>
        <w:spacing w:line="480" w:lineRule="auto"/>
        <w:jc w:val="center"/>
        <w:rPr>
          <w:rFonts w:ascii="宋体" w:hAnsi="宋体" w:cs="宋体"/>
          <w:b/>
          <w:sz w:val="32"/>
          <w:szCs w:val="32"/>
          <w:highlight w:val="none"/>
        </w:rPr>
      </w:pPr>
    </w:p>
    <w:p>
      <w:pPr>
        <w:spacing w:line="480" w:lineRule="auto"/>
        <w:jc w:val="center"/>
        <w:rPr>
          <w:rFonts w:ascii="宋体" w:hAnsi="宋体" w:cs="宋体"/>
          <w:b/>
          <w:sz w:val="32"/>
          <w:szCs w:val="32"/>
          <w:highlight w:val="none"/>
        </w:rPr>
      </w:pPr>
      <w:r>
        <w:rPr>
          <w:rFonts w:hint="eastAsia" w:ascii="宋体" w:hAnsi="宋体" w:cs="宋体"/>
          <w:b/>
          <w:sz w:val="32"/>
          <w:szCs w:val="32"/>
          <w:highlight w:val="none"/>
        </w:rPr>
        <w:t>2024年5月</w:t>
      </w:r>
    </w:p>
    <w:p>
      <w:pPr>
        <w:widowControl/>
        <w:spacing w:line="480" w:lineRule="auto"/>
        <w:jc w:val="center"/>
        <w:rPr>
          <w:rFonts w:ascii="宋体" w:hAnsi="宋体" w:cs="宋体"/>
          <w:sz w:val="32"/>
          <w:szCs w:val="32"/>
          <w:highlight w:val="none"/>
        </w:rPr>
        <w:sectPr>
          <w:footerReference r:id="rId6" w:type="first"/>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AndChars" w:linePitch="312" w:charSpace="0"/>
        </w:sectPr>
      </w:pPr>
    </w:p>
    <w:p>
      <w:pPr>
        <w:pStyle w:val="23"/>
        <w:widowControl/>
        <w:tabs>
          <w:tab w:val="right" w:leader="dot" w:pos="9060"/>
        </w:tabs>
        <w:spacing w:line="360" w:lineRule="auto"/>
        <w:jc w:val="center"/>
        <w:rPr>
          <w:rFonts w:ascii="宋体" w:hAnsi="宋体" w:cs="宋体"/>
          <w:b/>
          <w:sz w:val="44"/>
          <w:szCs w:val="28"/>
          <w:highlight w:val="none"/>
        </w:rPr>
      </w:pPr>
      <w:r>
        <w:rPr>
          <w:rFonts w:hint="eastAsia" w:ascii="宋体" w:hAnsi="宋体" w:cs="宋体"/>
          <w:b/>
          <w:sz w:val="44"/>
          <w:szCs w:val="28"/>
          <w:highlight w:val="none"/>
        </w:rPr>
        <w:t>目    录</w:t>
      </w:r>
    </w:p>
    <w:p>
      <w:pPr>
        <w:pStyle w:val="23"/>
        <w:widowControl/>
        <w:tabs>
          <w:tab w:val="right" w:leader="dot" w:pos="9060"/>
        </w:tabs>
        <w:spacing w:line="360" w:lineRule="auto"/>
        <w:jc w:val="center"/>
        <w:rPr>
          <w:highlight w:val="none"/>
        </w:rPr>
      </w:pPr>
      <w:r>
        <w:rPr>
          <w:rFonts w:ascii="宋体" w:hAnsi="宋体" w:cs="宋体"/>
          <w:sz w:val="24"/>
          <w:szCs w:val="21"/>
          <w:highlight w:val="none"/>
        </w:rPr>
        <w:fldChar w:fldCharType="begin"/>
      </w:r>
      <w:r>
        <w:rPr>
          <w:rFonts w:ascii="宋体" w:hAnsi="宋体" w:cs="宋体"/>
          <w:sz w:val="24"/>
          <w:szCs w:val="21"/>
          <w:highlight w:val="none"/>
        </w:rPr>
        <w:instrText xml:space="preserve"> TOC \o "1-2" \h \z \u </w:instrText>
      </w:r>
      <w:r>
        <w:rPr>
          <w:rFonts w:ascii="宋体" w:hAnsi="宋体" w:cs="宋体"/>
          <w:sz w:val="24"/>
          <w:szCs w:val="21"/>
          <w:highlight w:val="none"/>
        </w:rPr>
        <w:fldChar w:fldCharType="separate"/>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"_Toc165389700" </w:instrText>
      </w:r>
      <w:r>
        <w:rPr>
          <w:highlight w:val="none"/>
        </w:rPr>
        <w:fldChar w:fldCharType="separate"/>
      </w:r>
      <w:r>
        <w:rPr>
          <w:rStyle w:val="42"/>
          <w:rFonts w:ascii="宋体" w:hAnsi="宋体" w:cs="宋体"/>
          <w:b/>
          <w:sz w:val="24"/>
          <w:highlight w:val="none"/>
          <w:lang w:bidi="ar"/>
        </w:rPr>
        <w:t xml:space="preserve">第一章  </w:t>
      </w:r>
      <w:r>
        <w:rPr>
          <w:rStyle w:val="42"/>
          <w:rFonts w:ascii="宋体" w:hAnsi="宋体"/>
          <w:b/>
          <w:sz w:val="24"/>
          <w:highlight w:val="none"/>
        </w:rPr>
        <w:t>比选公告</w:t>
      </w:r>
      <w:r>
        <w:rPr>
          <w:sz w:val="24"/>
          <w:highlight w:val="none"/>
        </w:rPr>
        <w:tab/>
      </w:r>
      <w:r>
        <w:rPr>
          <w:sz w:val="24"/>
          <w:highlight w:val="none"/>
        </w:rPr>
        <w:fldChar w:fldCharType="begin"/>
      </w:r>
      <w:r>
        <w:rPr>
          <w:sz w:val="24"/>
          <w:highlight w:val="none"/>
        </w:rPr>
        <w:instrText xml:space="preserve"> PAGEREF _Toc165389700 \h </w:instrText>
      </w:r>
      <w:r>
        <w:rPr>
          <w:sz w:val="24"/>
          <w:highlight w:val="none"/>
        </w:rPr>
        <w:fldChar w:fldCharType="separate"/>
      </w:r>
      <w:r>
        <w:rPr>
          <w:sz w:val="24"/>
          <w:highlight w:val="none"/>
        </w:rPr>
        <w:t>1</w:t>
      </w:r>
      <w:r>
        <w:rPr>
          <w:sz w:val="24"/>
          <w:highlight w:val="none"/>
        </w:rPr>
        <w:fldChar w:fldCharType="end"/>
      </w:r>
      <w:r>
        <w:rPr>
          <w:sz w:val="24"/>
          <w:highlight w:val="none"/>
        </w:rPr>
        <w:fldChar w:fldCharType="end"/>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"_Toc165389708" </w:instrText>
      </w:r>
      <w:r>
        <w:rPr>
          <w:highlight w:val="none"/>
        </w:rPr>
        <w:fldChar w:fldCharType="separate"/>
      </w:r>
      <w:r>
        <w:rPr>
          <w:rStyle w:val="42"/>
          <w:rFonts w:ascii="宋体" w:hAnsi="宋体" w:cs="宋体"/>
          <w:b/>
          <w:sz w:val="24"/>
          <w:highlight w:val="none"/>
          <w:lang w:bidi="ar"/>
        </w:rPr>
        <w:t>第二章  比选须知</w:t>
      </w:r>
      <w:r>
        <w:rPr>
          <w:sz w:val="24"/>
          <w:highlight w:val="none"/>
        </w:rPr>
        <w:tab/>
      </w:r>
      <w:r>
        <w:rPr>
          <w:sz w:val="24"/>
          <w:highlight w:val="none"/>
        </w:rPr>
        <w:fldChar w:fldCharType="begin"/>
      </w:r>
      <w:r>
        <w:rPr>
          <w:sz w:val="24"/>
          <w:highlight w:val="none"/>
        </w:rPr>
        <w:instrText xml:space="preserve"> PAGEREF _Toc165389708 \h </w:instrText>
      </w:r>
      <w:r>
        <w:rPr>
          <w:sz w:val="24"/>
          <w:highlight w:val="none"/>
        </w:rPr>
        <w:fldChar w:fldCharType="separate"/>
      </w:r>
      <w:r>
        <w:rPr>
          <w:sz w:val="24"/>
          <w:highlight w:val="none"/>
        </w:rPr>
        <w:t>5</w:t>
      </w:r>
      <w:r>
        <w:rPr>
          <w:sz w:val="24"/>
          <w:highlight w:val="none"/>
        </w:rPr>
        <w:fldChar w:fldCharType="end"/>
      </w:r>
      <w:r>
        <w:rPr>
          <w:sz w:val="24"/>
          <w:highlight w:val="none"/>
        </w:rPr>
        <w:fldChar w:fldCharType="end"/>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"_Toc165389710" </w:instrText>
      </w:r>
      <w:r>
        <w:rPr>
          <w:highlight w:val="none"/>
        </w:rPr>
        <w:fldChar w:fldCharType="separate"/>
      </w:r>
      <w:r>
        <w:rPr>
          <w:rStyle w:val="42"/>
          <w:rFonts w:ascii="宋体" w:hAnsi="宋体" w:cs="宋体"/>
          <w:b/>
          <w:bCs/>
          <w:sz w:val="24"/>
          <w:highlight w:val="none"/>
        </w:rPr>
        <w:t xml:space="preserve">第三章 </w:t>
      </w:r>
      <w:r>
        <w:rPr>
          <w:rStyle w:val="42"/>
          <w:rFonts w:hint="eastAsia" w:ascii="宋体" w:hAnsi="宋体" w:cs="宋体"/>
          <w:b/>
          <w:bCs/>
          <w:sz w:val="24"/>
          <w:highlight w:val="none"/>
        </w:rPr>
        <w:t xml:space="preserve"> </w:t>
      </w:r>
      <w:r>
        <w:rPr>
          <w:rStyle w:val="42"/>
          <w:rFonts w:ascii="宋体" w:hAnsi="宋体" w:cs="宋体"/>
          <w:b/>
          <w:bCs/>
          <w:sz w:val="24"/>
          <w:highlight w:val="none"/>
        </w:rPr>
        <w:t>评标办法（综合评估法）</w:t>
      </w:r>
      <w:r>
        <w:rPr>
          <w:sz w:val="24"/>
          <w:highlight w:val="none"/>
        </w:rPr>
        <w:tab/>
      </w:r>
      <w:r>
        <w:rPr>
          <w:sz w:val="24"/>
          <w:highlight w:val="none"/>
        </w:rPr>
        <w:fldChar w:fldCharType="begin"/>
      </w:r>
      <w:r>
        <w:rPr>
          <w:sz w:val="24"/>
          <w:highlight w:val="none"/>
        </w:rPr>
        <w:instrText xml:space="preserve"> PAGEREF _Toc165389710 \h </w:instrText>
      </w:r>
      <w:r>
        <w:rPr>
          <w:sz w:val="24"/>
          <w:highlight w:val="none"/>
        </w:rPr>
        <w:fldChar w:fldCharType="separate"/>
      </w:r>
      <w:r>
        <w:rPr>
          <w:sz w:val="24"/>
          <w:highlight w:val="none"/>
        </w:rPr>
        <w:t>13</w:t>
      </w:r>
      <w:r>
        <w:rPr>
          <w:sz w:val="24"/>
          <w:highlight w:val="none"/>
        </w:rPr>
        <w:fldChar w:fldCharType="end"/>
      </w:r>
      <w:r>
        <w:rPr>
          <w:sz w:val="24"/>
          <w:highlight w:val="none"/>
        </w:rPr>
        <w:fldChar w:fldCharType="end"/>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"_Toc165389711" </w:instrText>
      </w:r>
      <w:r>
        <w:rPr>
          <w:highlight w:val="none"/>
        </w:rPr>
        <w:fldChar w:fldCharType="separate"/>
      </w:r>
      <w:r>
        <w:rPr>
          <w:rStyle w:val="42"/>
          <w:rFonts w:ascii="宋体" w:hAnsi="宋体" w:cs="宋体"/>
          <w:b/>
          <w:bCs/>
          <w:sz w:val="24"/>
          <w:highlight w:val="none"/>
        </w:rPr>
        <w:t>第四章  报价清单</w:t>
      </w:r>
      <w:r>
        <w:rPr>
          <w:sz w:val="24"/>
          <w:highlight w:val="none"/>
        </w:rPr>
        <w:tab/>
      </w:r>
      <w:r>
        <w:rPr>
          <w:sz w:val="24"/>
          <w:highlight w:val="none"/>
        </w:rPr>
        <w:fldChar w:fldCharType="begin"/>
      </w:r>
      <w:r>
        <w:rPr>
          <w:sz w:val="24"/>
          <w:highlight w:val="none"/>
        </w:rPr>
        <w:instrText xml:space="preserve"> PAGEREF _Toc165389711 \h </w:instrText>
      </w:r>
      <w:r>
        <w:rPr>
          <w:sz w:val="24"/>
          <w:highlight w:val="none"/>
        </w:rPr>
        <w:fldChar w:fldCharType="separate"/>
      </w:r>
      <w:r>
        <w:rPr>
          <w:sz w:val="24"/>
          <w:highlight w:val="none"/>
        </w:rPr>
        <w:t>19</w:t>
      </w:r>
      <w:r>
        <w:rPr>
          <w:sz w:val="24"/>
          <w:highlight w:val="none"/>
        </w:rPr>
        <w:fldChar w:fldCharType="end"/>
      </w:r>
      <w:r>
        <w:rPr>
          <w:sz w:val="24"/>
          <w:highlight w:val="none"/>
        </w:rPr>
        <w:fldChar w:fldCharType="end"/>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"_Toc165389714" </w:instrText>
      </w:r>
      <w:r>
        <w:rPr>
          <w:highlight w:val="none"/>
        </w:rPr>
        <w:fldChar w:fldCharType="separate"/>
      </w:r>
      <w:r>
        <w:rPr>
          <w:rStyle w:val="42"/>
          <w:rFonts w:ascii="宋体" w:hAnsi="宋体" w:cs="宋体"/>
          <w:b/>
          <w:bCs/>
          <w:sz w:val="24"/>
          <w:highlight w:val="none"/>
        </w:rPr>
        <w:t xml:space="preserve">第五章 </w:t>
      </w:r>
      <w:r>
        <w:rPr>
          <w:rStyle w:val="42"/>
          <w:rFonts w:hint="eastAsia" w:ascii="宋体" w:hAnsi="宋体" w:cs="宋体"/>
          <w:b/>
          <w:bCs/>
          <w:sz w:val="24"/>
          <w:highlight w:val="none"/>
        </w:rPr>
        <w:t xml:space="preserve"> </w:t>
      </w:r>
      <w:r>
        <w:rPr>
          <w:rStyle w:val="42"/>
          <w:rFonts w:ascii="宋体" w:hAnsi="宋体" w:cs="宋体"/>
          <w:b/>
          <w:bCs/>
          <w:sz w:val="24"/>
          <w:highlight w:val="none"/>
        </w:rPr>
        <w:t>合同条款及格式</w:t>
      </w:r>
      <w:r>
        <w:rPr>
          <w:sz w:val="24"/>
          <w:highlight w:val="none"/>
        </w:rPr>
        <w:tab/>
      </w:r>
      <w:r>
        <w:rPr>
          <w:sz w:val="24"/>
          <w:highlight w:val="none"/>
        </w:rPr>
        <w:fldChar w:fldCharType="begin"/>
      </w:r>
      <w:r>
        <w:rPr>
          <w:sz w:val="24"/>
          <w:highlight w:val="none"/>
        </w:rPr>
        <w:instrText xml:space="preserve"> PAGEREF _Toc165389714 \h </w:instrText>
      </w:r>
      <w:r>
        <w:rPr>
          <w:sz w:val="24"/>
          <w:highlight w:val="none"/>
        </w:rPr>
        <w:fldChar w:fldCharType="separate"/>
      </w:r>
      <w:r>
        <w:rPr>
          <w:sz w:val="24"/>
          <w:highlight w:val="none"/>
        </w:rPr>
        <w:t>22</w:t>
      </w:r>
      <w:r>
        <w:rPr>
          <w:sz w:val="24"/>
          <w:highlight w:val="none"/>
        </w:rPr>
        <w:fldChar w:fldCharType="end"/>
      </w:r>
      <w:r>
        <w:rPr>
          <w:sz w:val="24"/>
          <w:highlight w:val="none"/>
        </w:rPr>
        <w:fldChar w:fldCharType="end"/>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"_Toc165389748" </w:instrText>
      </w:r>
      <w:r>
        <w:rPr>
          <w:highlight w:val="none"/>
        </w:rPr>
        <w:fldChar w:fldCharType="separate"/>
      </w:r>
      <w:r>
        <w:rPr>
          <w:rStyle w:val="42"/>
          <w:rFonts w:ascii="宋体" w:hAnsi="宋体" w:cs="宋体"/>
          <w:b/>
          <w:bCs/>
          <w:sz w:val="24"/>
          <w:highlight w:val="none"/>
        </w:rPr>
        <w:t xml:space="preserve">第六章 </w:t>
      </w:r>
      <w:r>
        <w:rPr>
          <w:rStyle w:val="42"/>
          <w:rFonts w:hint="eastAsia" w:ascii="宋体" w:hAnsi="宋体" w:cs="宋体"/>
          <w:b/>
          <w:bCs/>
          <w:sz w:val="24"/>
          <w:highlight w:val="none"/>
        </w:rPr>
        <w:t xml:space="preserve"> </w:t>
      </w:r>
      <w:r>
        <w:rPr>
          <w:rStyle w:val="42"/>
          <w:rFonts w:ascii="宋体" w:hAnsi="宋体" w:cs="宋体"/>
          <w:b/>
          <w:bCs/>
          <w:sz w:val="24"/>
          <w:highlight w:val="none"/>
        </w:rPr>
        <w:t>技术标准和要求</w:t>
      </w:r>
      <w:r>
        <w:rPr>
          <w:sz w:val="24"/>
          <w:highlight w:val="none"/>
        </w:rPr>
        <w:tab/>
      </w:r>
      <w:r>
        <w:rPr>
          <w:sz w:val="24"/>
          <w:highlight w:val="none"/>
        </w:rPr>
        <w:fldChar w:fldCharType="begin"/>
      </w:r>
      <w:r>
        <w:rPr>
          <w:sz w:val="24"/>
          <w:highlight w:val="none"/>
        </w:rPr>
        <w:instrText xml:space="preserve"> PAGEREF _Toc165389748 \h </w:instrText>
      </w:r>
      <w:r>
        <w:rPr>
          <w:sz w:val="24"/>
          <w:highlight w:val="none"/>
        </w:rPr>
        <w:fldChar w:fldCharType="separate"/>
      </w:r>
      <w:r>
        <w:rPr>
          <w:sz w:val="24"/>
          <w:highlight w:val="none"/>
        </w:rPr>
        <w:t>33</w:t>
      </w:r>
      <w:r>
        <w:rPr>
          <w:sz w:val="24"/>
          <w:highlight w:val="none"/>
        </w:rPr>
        <w:fldChar w:fldCharType="end"/>
      </w:r>
      <w:r>
        <w:rPr>
          <w:sz w:val="24"/>
          <w:highlight w:val="none"/>
        </w:rPr>
        <w:fldChar w:fldCharType="end"/>
      </w:r>
    </w:p>
    <w:p>
      <w:pPr>
        <w:pStyle w:val="23"/>
        <w:tabs>
          <w:tab w:val="right" w:leader="dot" w:pos="9060"/>
        </w:tabs>
        <w:spacing w:line="480" w:lineRule="auto"/>
        <w:rPr>
          <w:rFonts w:ascii="等线" w:hAnsi="等线" w:eastAsia="等线"/>
          <w:sz w:val="24"/>
          <w:highlight w:val="none"/>
        </w:rPr>
      </w:pPr>
      <w:r>
        <w:rPr>
          <w:highlight w:val="none"/>
        </w:rPr>
        <w:fldChar w:fldCharType="begin"/>
      </w:r>
      <w:r>
        <w:rPr>
          <w:highlight w:val="none"/>
        </w:rPr>
        <w:instrText xml:space="preserve"> HYPERLINK \l "_Toc165389749" </w:instrText>
      </w:r>
      <w:r>
        <w:rPr>
          <w:highlight w:val="none"/>
        </w:rPr>
        <w:fldChar w:fldCharType="separate"/>
      </w:r>
      <w:r>
        <w:rPr>
          <w:rStyle w:val="42"/>
          <w:rFonts w:ascii="宋体" w:hAnsi="宋体" w:cs="宋体"/>
          <w:b/>
          <w:bCs/>
          <w:sz w:val="24"/>
          <w:highlight w:val="none"/>
        </w:rPr>
        <w:t>第七章</w:t>
      </w:r>
      <w:r>
        <w:rPr>
          <w:rStyle w:val="42"/>
          <w:rFonts w:hint="eastAsia" w:ascii="宋体" w:hAnsi="宋体" w:cs="宋体"/>
          <w:b/>
          <w:bCs/>
          <w:sz w:val="24"/>
          <w:highlight w:val="none"/>
        </w:rPr>
        <w:t xml:space="preserve"> </w:t>
      </w:r>
      <w:r>
        <w:rPr>
          <w:rStyle w:val="42"/>
          <w:rFonts w:ascii="宋体" w:hAnsi="宋体" w:cs="宋体"/>
          <w:b/>
          <w:bCs/>
          <w:sz w:val="24"/>
          <w:highlight w:val="none"/>
        </w:rPr>
        <w:t xml:space="preserve"> 参选文件格式</w:t>
      </w:r>
      <w:r>
        <w:rPr>
          <w:sz w:val="24"/>
          <w:highlight w:val="none"/>
        </w:rPr>
        <w:tab/>
      </w:r>
      <w:r>
        <w:rPr>
          <w:sz w:val="24"/>
          <w:highlight w:val="none"/>
        </w:rPr>
        <w:fldChar w:fldCharType="begin"/>
      </w:r>
      <w:r>
        <w:rPr>
          <w:sz w:val="24"/>
          <w:highlight w:val="none"/>
        </w:rPr>
        <w:instrText xml:space="preserve"> PAGEREF _Toc165389749 \h </w:instrText>
      </w:r>
      <w:r>
        <w:rPr>
          <w:sz w:val="24"/>
          <w:highlight w:val="none"/>
        </w:rPr>
        <w:fldChar w:fldCharType="separate"/>
      </w:r>
      <w:r>
        <w:rPr>
          <w:sz w:val="24"/>
          <w:highlight w:val="none"/>
        </w:rPr>
        <w:t>35</w:t>
      </w:r>
      <w:r>
        <w:rPr>
          <w:sz w:val="24"/>
          <w:highlight w:val="none"/>
        </w:rPr>
        <w:fldChar w:fldCharType="end"/>
      </w:r>
      <w:r>
        <w:rPr>
          <w:sz w:val="24"/>
          <w:highlight w:val="none"/>
        </w:rPr>
        <w:fldChar w:fldCharType="end"/>
      </w:r>
    </w:p>
    <w:p>
      <w:pPr>
        <w:pStyle w:val="23"/>
        <w:widowControl/>
        <w:tabs>
          <w:tab w:val="right" w:leader="dot" w:pos="9060"/>
        </w:tabs>
        <w:spacing w:line="360" w:lineRule="auto"/>
        <w:jc w:val="center"/>
        <w:rPr>
          <w:rFonts w:ascii="宋体" w:hAnsi="宋体" w:cs="宋体"/>
          <w:sz w:val="24"/>
          <w:highlight w:val="none"/>
        </w:rPr>
      </w:pPr>
      <w:r>
        <w:rPr>
          <w:rFonts w:ascii="宋体" w:hAnsi="宋体" w:cs="宋体"/>
          <w:sz w:val="24"/>
          <w:szCs w:val="21"/>
          <w:highlight w:val="none"/>
        </w:rPr>
        <w:fldChar w:fldCharType="end"/>
      </w:r>
    </w:p>
    <w:p>
      <w:pPr>
        <w:pStyle w:val="23"/>
        <w:tabs>
          <w:tab w:val="right" w:leader="dot" w:pos="9060"/>
        </w:tabs>
        <w:spacing w:line="360" w:lineRule="auto"/>
        <w:rPr>
          <w:rFonts w:ascii="宋体" w:hAnsi="宋体" w:cs="宋体"/>
          <w:sz w:val="24"/>
          <w:highlight w:val="none"/>
          <w:lang w:val="zh-CN"/>
        </w:rPr>
        <w:sectPr>
          <w:footerReference r:id="rId8" w:type="first"/>
          <w:footerReference r:id="rId7" w:type="default"/>
          <w:pgSz w:w="11906" w:h="16838"/>
          <w:pgMar w:top="1440" w:right="1080" w:bottom="1440" w:left="1080" w:header="851" w:footer="992" w:gutter="0"/>
          <w:pgNumType w:start="1"/>
          <w:cols w:space="720" w:num="1"/>
          <w:docGrid w:type="linesAndChars" w:linePitch="312" w:charSpace="0"/>
        </w:sect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cs="宋体"/>
          <w:b/>
          <w:sz w:val="40"/>
          <w:szCs w:val="36"/>
          <w:highlight w:val="none"/>
          <w:lang w:bidi="ar"/>
        </w:rPr>
      </w:pPr>
    </w:p>
    <w:p>
      <w:pPr>
        <w:spacing w:line="360" w:lineRule="auto"/>
        <w:jc w:val="center"/>
        <w:outlineLvl w:val="0"/>
        <w:rPr>
          <w:rFonts w:ascii="宋体" w:hAnsi="宋体"/>
          <w:b/>
          <w:sz w:val="40"/>
          <w:szCs w:val="44"/>
          <w:highlight w:val="none"/>
        </w:rPr>
      </w:pPr>
      <w:bookmarkStart w:id="0" w:name="_Toc165389700"/>
      <w:r>
        <w:rPr>
          <w:rFonts w:hint="eastAsia" w:ascii="宋体" w:hAnsi="宋体" w:cs="宋体"/>
          <w:b/>
          <w:sz w:val="40"/>
          <w:szCs w:val="36"/>
          <w:highlight w:val="none"/>
          <w:lang w:bidi="ar"/>
        </w:rPr>
        <w:t xml:space="preserve">第一章  </w:t>
      </w:r>
      <w:r>
        <w:rPr>
          <w:rFonts w:hint="eastAsia" w:ascii="宋体" w:hAnsi="宋体"/>
          <w:b/>
          <w:sz w:val="40"/>
          <w:szCs w:val="44"/>
          <w:highlight w:val="none"/>
        </w:rPr>
        <w:t>比选公告</w:t>
      </w:r>
      <w:bookmarkEnd w:id="0"/>
    </w:p>
    <w:p>
      <w:pPr>
        <w:tabs>
          <w:tab w:val="left" w:pos="3420"/>
        </w:tabs>
        <w:spacing w:line="360" w:lineRule="auto"/>
        <w:jc w:val="center"/>
        <w:rPr>
          <w:rFonts w:ascii="宋体" w:hAnsi="宋体"/>
          <w:b/>
          <w:bCs/>
          <w:sz w:val="32"/>
          <w:szCs w:val="32"/>
          <w:highlight w:val="none"/>
        </w:rPr>
      </w:pPr>
      <w:r>
        <w:rPr>
          <w:rFonts w:hint="eastAsia" w:ascii="宋体" w:hAnsi="宋体"/>
          <w:b/>
          <w:sz w:val="40"/>
          <w:szCs w:val="44"/>
          <w:highlight w:val="none"/>
        </w:rPr>
        <w:br w:type="page"/>
      </w:r>
      <w:r>
        <w:rPr>
          <w:rFonts w:hint="eastAsia" w:ascii="宋体" w:hAnsi="宋体"/>
          <w:b/>
          <w:sz w:val="32"/>
          <w:szCs w:val="32"/>
          <w:highlight w:val="none"/>
        </w:rPr>
        <w:t>吉林省中部城市引松供水工程标准化管理咨询</w:t>
      </w:r>
    </w:p>
    <w:p>
      <w:pPr>
        <w:tabs>
          <w:tab w:val="left" w:pos="3420"/>
        </w:tabs>
        <w:spacing w:line="360" w:lineRule="auto"/>
        <w:jc w:val="center"/>
        <w:rPr>
          <w:rFonts w:ascii="宋体" w:hAnsi="宋体"/>
          <w:b/>
          <w:bCs/>
          <w:sz w:val="32"/>
          <w:szCs w:val="32"/>
          <w:highlight w:val="none"/>
        </w:rPr>
      </w:pPr>
      <w:r>
        <w:rPr>
          <w:rFonts w:hint="eastAsia" w:ascii="宋体" w:hAnsi="宋体"/>
          <w:b/>
          <w:bCs/>
          <w:sz w:val="32"/>
          <w:szCs w:val="32"/>
          <w:highlight w:val="none"/>
        </w:rPr>
        <w:t>比选公告</w:t>
      </w:r>
    </w:p>
    <w:p>
      <w:pPr>
        <w:tabs>
          <w:tab w:val="left" w:pos="3420"/>
        </w:tabs>
        <w:spacing w:line="360" w:lineRule="auto"/>
        <w:jc w:val="center"/>
        <w:rPr>
          <w:rFonts w:ascii="宋体" w:hAnsi="宋体"/>
          <w:sz w:val="24"/>
          <w:highlight w:val="none"/>
        </w:rPr>
      </w:pPr>
      <w:r>
        <w:rPr>
          <w:rFonts w:hint="eastAsia" w:ascii="宋体" w:hAnsi="宋体"/>
          <w:sz w:val="24"/>
          <w:highlight w:val="none"/>
        </w:rPr>
        <w:t>合同编号：</w:t>
      </w:r>
      <w:bookmarkStart w:id="1" w:name="_Toc416163544"/>
      <w:bookmarkStart w:id="2" w:name="_Toc424540985"/>
      <w:bookmarkStart w:id="3" w:name="_Toc493148946"/>
      <w:bookmarkStart w:id="4" w:name="_Toc424286782"/>
      <w:bookmarkStart w:id="5" w:name="_Toc416186768"/>
      <w:r>
        <w:rPr>
          <w:rFonts w:hint="eastAsia" w:ascii="宋体" w:hAnsi="宋体"/>
          <w:sz w:val="24"/>
          <w:highlight w:val="none"/>
        </w:rPr>
        <w:t>ZGZBDL2024004</w:t>
      </w:r>
    </w:p>
    <w:p>
      <w:pPr>
        <w:tabs>
          <w:tab w:val="left" w:pos="3420"/>
        </w:tabs>
        <w:spacing w:line="360" w:lineRule="auto"/>
        <w:outlineLvl w:val="0"/>
        <w:rPr>
          <w:rFonts w:ascii="宋体" w:hAnsi="宋体"/>
          <w:b/>
          <w:snapToGrid w:val="0"/>
          <w:color w:val="000000"/>
          <w:sz w:val="24"/>
          <w:highlight w:val="none"/>
        </w:rPr>
      </w:pPr>
      <w:bookmarkStart w:id="6" w:name="_Toc165389650"/>
      <w:bookmarkStart w:id="7" w:name="_Toc527121685"/>
      <w:bookmarkStart w:id="8" w:name="_Toc514227627"/>
      <w:bookmarkStart w:id="9" w:name="_Toc165389701"/>
      <w:bookmarkStart w:id="10" w:name="_Toc528669590"/>
      <w:bookmarkStart w:id="11" w:name="_Toc514418695"/>
      <w:bookmarkStart w:id="12" w:name="_Toc534976473"/>
      <w:r>
        <w:rPr>
          <w:rFonts w:hint="eastAsia" w:ascii="宋体" w:hAnsi="宋体"/>
          <w:b/>
          <w:snapToGrid w:val="0"/>
          <w:color w:val="000000"/>
          <w:sz w:val="24"/>
          <w:highlight w:val="none"/>
        </w:rPr>
        <w:t>1．比选条件</w:t>
      </w:r>
      <w:bookmarkEnd w:id="1"/>
      <w:bookmarkEnd w:id="2"/>
      <w:bookmarkEnd w:id="3"/>
      <w:bookmarkEnd w:id="4"/>
      <w:bookmarkEnd w:id="5"/>
      <w:bookmarkEnd w:id="6"/>
      <w:bookmarkEnd w:id="7"/>
      <w:bookmarkEnd w:id="8"/>
      <w:bookmarkEnd w:id="9"/>
      <w:bookmarkEnd w:id="10"/>
      <w:bookmarkEnd w:id="11"/>
      <w:bookmarkEnd w:id="12"/>
    </w:p>
    <w:p>
      <w:pPr>
        <w:tabs>
          <w:tab w:val="left" w:pos="3420"/>
        </w:tabs>
        <w:spacing w:line="360" w:lineRule="auto"/>
        <w:ind w:firstLine="480" w:firstLineChars="200"/>
        <w:rPr>
          <w:rFonts w:ascii="宋体" w:hAnsi="宋体"/>
          <w:sz w:val="24"/>
          <w:highlight w:val="none"/>
        </w:rPr>
      </w:pPr>
      <w:r>
        <w:rPr>
          <w:rFonts w:hint="eastAsia" w:ascii="宋体" w:hAnsi="宋体" w:cs="宋体"/>
          <w:sz w:val="24"/>
          <w:highlight w:val="none"/>
        </w:rPr>
        <w:t>吉林省中部城市引松供水工程供水范围为长春市、四平市、辽源市及所属的11个市、县、区及沿线26个乡镇，多年平均设计年引水量8.98亿立方米。工程包括取水口、输水总干线、长春干线、四平干线、辽源干线、冯家岭分水枢纽及沿线附属工程，工程线路长263.45公里，概算总投资101.77亿元</w:t>
      </w:r>
      <w:r>
        <w:rPr>
          <w:rFonts w:hint="eastAsia" w:ascii="宋体" w:hAnsi="宋体"/>
          <w:sz w:val="24"/>
          <w:highlight w:val="none"/>
        </w:rPr>
        <w:t>。</w:t>
      </w:r>
    </w:p>
    <w:p>
      <w:pPr>
        <w:tabs>
          <w:tab w:val="left" w:pos="3420"/>
        </w:tabs>
        <w:spacing w:line="360" w:lineRule="auto"/>
        <w:ind w:firstLine="480" w:firstLineChars="200"/>
        <w:rPr>
          <w:rFonts w:ascii="宋体" w:hAnsi="宋体"/>
          <w:sz w:val="24"/>
          <w:highlight w:val="none"/>
        </w:rPr>
      </w:pPr>
      <w:r>
        <w:rPr>
          <w:rFonts w:hint="eastAsia" w:ascii="宋体" w:hAnsi="宋体"/>
          <w:sz w:val="24"/>
          <w:highlight w:val="none"/>
        </w:rPr>
        <w:t>根据水利部《关于推进调水工程标准化管理工作的函》（办调管函〔2022〕1165号）、《关于进一步做好调水工程标准化管理工作的通知》（办调管函〔2023〕498号）等有关要求，为进一步提高吉林省中部城市引松供水工程（简称“中部引水工程”）的管理水平，确保工程安全、高效、稳定运行，推进运行管理标准化、规范化、智慧化，拟开展工程标准化管理咨询比选工作，旨在为中部引水工程标准化创建提供全面、专业的咨询服务，确保工程运行管理科学性和有效性，助推中部引水工程标准化管理创建工作顺利进行。建设单位为吉林省城市供水有限公司，代理人为法正项目管理集团有限公司，现已具备实施条件，诚邀符合资格条件的潜在申请人参与本项目的比选。</w:t>
      </w:r>
    </w:p>
    <w:p>
      <w:pPr>
        <w:tabs>
          <w:tab w:val="left" w:pos="3420"/>
        </w:tabs>
        <w:spacing w:line="360" w:lineRule="auto"/>
        <w:outlineLvl w:val="0"/>
        <w:rPr>
          <w:rFonts w:ascii="宋体" w:hAnsi="宋体"/>
          <w:b/>
          <w:snapToGrid w:val="0"/>
          <w:color w:val="000000"/>
          <w:sz w:val="24"/>
          <w:highlight w:val="none"/>
        </w:rPr>
      </w:pPr>
      <w:bookmarkStart w:id="13" w:name="_Toc534976474"/>
      <w:bookmarkStart w:id="14" w:name="_Toc165389651"/>
      <w:bookmarkStart w:id="15" w:name="_Toc165389702"/>
      <w:r>
        <w:rPr>
          <w:rFonts w:hint="eastAsia" w:ascii="宋体" w:hAnsi="宋体"/>
          <w:b/>
          <w:snapToGrid w:val="0"/>
          <w:color w:val="000000"/>
          <w:sz w:val="24"/>
          <w:highlight w:val="none"/>
        </w:rPr>
        <w:t>2．工程概况与比选内容</w:t>
      </w:r>
      <w:bookmarkEnd w:id="13"/>
      <w:bookmarkEnd w:id="14"/>
      <w:bookmarkEnd w:id="15"/>
    </w:p>
    <w:p>
      <w:pPr>
        <w:tabs>
          <w:tab w:val="left" w:pos="3420"/>
        </w:tabs>
        <w:spacing w:line="360" w:lineRule="auto"/>
        <w:ind w:firstLine="480" w:firstLineChars="200"/>
        <w:rPr>
          <w:rFonts w:ascii="宋体" w:hAnsi="宋体"/>
          <w:sz w:val="24"/>
          <w:highlight w:val="none"/>
        </w:rPr>
      </w:pPr>
      <w:bookmarkStart w:id="16" w:name="_Toc416163546"/>
      <w:bookmarkStart w:id="17" w:name="_Toc424540987"/>
      <w:bookmarkStart w:id="18" w:name="_Toc416186770"/>
      <w:bookmarkStart w:id="19" w:name="_Toc424286784"/>
      <w:r>
        <w:rPr>
          <w:rFonts w:hint="eastAsia" w:ascii="宋体" w:hAnsi="宋体"/>
          <w:sz w:val="24"/>
          <w:highlight w:val="none"/>
        </w:rPr>
        <w:t>2.1项目地点：</w:t>
      </w:r>
      <w:r>
        <w:rPr>
          <w:rFonts w:hint="eastAsia"/>
          <w:snapToGrid w:val="0"/>
          <w:sz w:val="24"/>
          <w:highlight w:val="none"/>
        </w:rPr>
        <w:t>吉林省长春市</w:t>
      </w:r>
      <w:r>
        <w:rPr>
          <w:rFonts w:hint="eastAsia" w:ascii="宋体" w:hAnsi="宋体"/>
          <w:sz w:val="24"/>
          <w:highlight w:val="none"/>
        </w:rPr>
        <w:t>；</w:t>
      </w:r>
    </w:p>
    <w:p>
      <w:pPr>
        <w:tabs>
          <w:tab w:val="left" w:pos="3420"/>
        </w:tabs>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2.2比选项目：吉林省中部城市引松供水工程标准化管理咨询；</w:t>
      </w:r>
    </w:p>
    <w:p>
      <w:pPr>
        <w:tabs>
          <w:tab w:val="left" w:pos="3420"/>
        </w:tabs>
        <w:spacing w:line="360" w:lineRule="auto"/>
        <w:ind w:firstLine="480" w:firstLineChars="200"/>
        <w:rPr>
          <w:rFonts w:ascii="宋体" w:hAnsi="宋体"/>
          <w:sz w:val="24"/>
          <w:highlight w:val="none"/>
        </w:rPr>
      </w:pPr>
      <w:r>
        <w:rPr>
          <w:rFonts w:hint="eastAsia" w:ascii="宋体" w:hAnsi="宋体"/>
          <w:sz w:val="24"/>
          <w:highlight w:val="none"/>
        </w:rPr>
        <w:t>2.3比选内容：（1）</w:t>
      </w:r>
      <w:r>
        <w:rPr>
          <w:rFonts w:hint="eastAsia" w:ascii="宋体" w:hAnsi="宋体"/>
          <w:sz w:val="24"/>
          <w:highlight w:val="none"/>
          <w:lang w:val="en-US" w:eastAsia="zh-CN"/>
        </w:rPr>
        <w:t>编制</w:t>
      </w:r>
      <w:r>
        <w:rPr>
          <w:rFonts w:hint="eastAsia" w:ascii="宋体" w:hAnsi="宋体"/>
          <w:sz w:val="24"/>
          <w:highlight w:val="none"/>
        </w:rPr>
        <w:t>《吉林省中部城市引松供水工程运行管理能力提升规划》；（2）协调开展调水工程标准化创建调研交流；（3）组织开展管理咨询；（4）组织开展工程标准化管理自评；（5）配合开展工程标准化管理申报。</w:t>
      </w:r>
    </w:p>
    <w:p>
      <w:pPr>
        <w:tabs>
          <w:tab w:val="left" w:pos="3420"/>
        </w:tabs>
        <w:spacing w:line="360" w:lineRule="auto"/>
        <w:ind w:firstLine="480" w:firstLineChars="200"/>
        <w:rPr>
          <w:rFonts w:ascii="宋体" w:hAnsi="宋体"/>
          <w:sz w:val="24"/>
          <w:highlight w:val="none"/>
        </w:rPr>
      </w:pPr>
      <w:r>
        <w:rPr>
          <w:rFonts w:hint="eastAsia" w:ascii="宋体" w:hAnsi="宋体"/>
          <w:sz w:val="24"/>
          <w:highlight w:val="none"/>
        </w:rPr>
        <w:t>2.4服务期限：2024年6月15日至2025年6月30日；</w:t>
      </w:r>
    </w:p>
    <w:p>
      <w:pPr>
        <w:tabs>
          <w:tab w:val="left" w:pos="3420"/>
        </w:tabs>
        <w:spacing w:line="360" w:lineRule="auto"/>
        <w:ind w:firstLine="480" w:firstLineChars="200"/>
        <w:rPr>
          <w:rFonts w:ascii="宋体" w:hAnsi="宋体"/>
          <w:sz w:val="24"/>
          <w:highlight w:val="none"/>
        </w:rPr>
      </w:pPr>
      <w:r>
        <w:rPr>
          <w:rFonts w:hint="eastAsia" w:ascii="宋体" w:hAnsi="宋体"/>
          <w:sz w:val="24"/>
          <w:highlight w:val="none"/>
        </w:rPr>
        <w:t>2.5质量标准：符合国家现行有关标准、规范的规定并满足向水行政主管部门报批要求。</w:t>
      </w:r>
    </w:p>
    <w:p>
      <w:pPr>
        <w:tabs>
          <w:tab w:val="left" w:pos="3420"/>
        </w:tabs>
        <w:spacing w:line="360" w:lineRule="auto"/>
        <w:outlineLvl w:val="0"/>
        <w:rPr>
          <w:rFonts w:ascii="宋体" w:hAnsi="宋体"/>
          <w:b/>
          <w:snapToGrid w:val="0"/>
          <w:color w:val="000000"/>
          <w:sz w:val="24"/>
          <w:highlight w:val="none"/>
        </w:rPr>
      </w:pPr>
      <w:bookmarkStart w:id="20" w:name="_Toc534976475"/>
      <w:bookmarkStart w:id="21" w:name="_Toc493148947"/>
      <w:bookmarkStart w:id="22" w:name="_Toc528669591"/>
      <w:bookmarkStart w:id="23" w:name="_Toc527121686"/>
      <w:bookmarkStart w:id="24" w:name="_Toc514227628"/>
      <w:bookmarkStart w:id="25" w:name="_Toc165389652"/>
      <w:bookmarkStart w:id="26" w:name="_Toc165389703"/>
      <w:bookmarkStart w:id="27" w:name="_Toc514418696"/>
      <w:r>
        <w:rPr>
          <w:rFonts w:hint="eastAsia" w:ascii="宋体" w:hAnsi="宋体"/>
          <w:b/>
          <w:snapToGrid w:val="0"/>
          <w:color w:val="000000"/>
          <w:sz w:val="24"/>
          <w:highlight w:val="none"/>
        </w:rPr>
        <w:t>3．参选单位资格要求</w:t>
      </w:r>
      <w:bookmarkEnd w:id="16"/>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rFonts w:ascii="宋体" w:hAnsi="宋体"/>
          <w:sz w:val="24"/>
          <w:highlight w:val="none"/>
        </w:rPr>
      </w:pPr>
      <w:r>
        <w:rPr>
          <w:rFonts w:hint="eastAsia" w:ascii="宋体" w:hAnsi="宋体"/>
          <w:sz w:val="24"/>
          <w:highlight w:val="none"/>
        </w:rPr>
        <w:t>3.1在中华人民共和国境内注册，能够独立承担民事责任的法人或其他组织形式；近二年（2022年-至今）有成功组织开展或通过水利工程标准化管理评价的相关业绩；</w:t>
      </w:r>
    </w:p>
    <w:p>
      <w:pPr>
        <w:spacing w:line="360" w:lineRule="auto"/>
        <w:ind w:firstLine="480" w:firstLineChars="200"/>
        <w:rPr>
          <w:rFonts w:ascii="宋体" w:hAnsi="宋体"/>
          <w:sz w:val="24"/>
          <w:highlight w:val="none"/>
        </w:rPr>
      </w:pPr>
      <w:r>
        <w:rPr>
          <w:rFonts w:hint="eastAsia" w:ascii="宋体" w:hAnsi="宋体"/>
          <w:sz w:val="24"/>
          <w:highlight w:val="none"/>
        </w:rPr>
        <w:t>3.2参选单位近三年（2021年—2023年）财务状况良好，无破产、资产被冻结、接管等情况发生；</w:t>
      </w:r>
    </w:p>
    <w:p>
      <w:pPr>
        <w:spacing w:line="360" w:lineRule="auto"/>
        <w:ind w:firstLine="480" w:firstLineChars="200"/>
        <w:rPr>
          <w:rFonts w:ascii="宋体" w:hAnsi="宋体"/>
          <w:sz w:val="24"/>
          <w:highlight w:val="none"/>
        </w:rPr>
      </w:pPr>
      <w:r>
        <w:rPr>
          <w:rFonts w:hint="eastAsia" w:ascii="宋体" w:hAnsi="宋体"/>
          <w:sz w:val="24"/>
          <w:highlight w:val="none"/>
        </w:rPr>
        <w:t>3.3具有投资参股关系的关联企业，或具有直接管理和被管理关系的母子公司，或同一母子公司的子公司，或法定代表人为同一人的两个及两个以上法人不得同时对同一个项目参加比选活动，与建设单位存在利害关系可能影响比选公正性的法人、其他组织或个人，不能参加比选活动。单位负责人为同一人或者存在控股、管理关系的不同单位，不能参加比选活动；违反上述规定的，其参选资格均按无效处理；</w:t>
      </w:r>
    </w:p>
    <w:p>
      <w:pPr>
        <w:spacing w:line="360" w:lineRule="auto"/>
        <w:ind w:firstLine="480" w:firstLineChars="200"/>
        <w:rPr>
          <w:rFonts w:ascii="宋体" w:hAnsi="宋体"/>
          <w:sz w:val="24"/>
          <w:highlight w:val="none"/>
        </w:rPr>
      </w:pPr>
      <w:r>
        <w:rPr>
          <w:rFonts w:hint="eastAsia" w:ascii="宋体" w:hAnsi="宋体"/>
          <w:sz w:val="24"/>
          <w:highlight w:val="none"/>
        </w:rPr>
        <w:t>3.4不接受被列入失信被执行人、重大税收违法失信主体、政府采购严重违法失信行为记录名单的参选单位参与比选（详见财库[2016]125号文件）；</w:t>
      </w:r>
    </w:p>
    <w:p>
      <w:pPr>
        <w:spacing w:line="360" w:lineRule="auto"/>
        <w:ind w:firstLine="480" w:firstLineChars="200"/>
        <w:rPr>
          <w:rFonts w:ascii="宋体" w:hAnsi="宋体"/>
          <w:sz w:val="24"/>
          <w:highlight w:val="none"/>
        </w:rPr>
      </w:pPr>
      <w:r>
        <w:rPr>
          <w:rFonts w:hint="eastAsia" w:ascii="宋体" w:hAnsi="宋体"/>
          <w:sz w:val="24"/>
          <w:highlight w:val="none"/>
        </w:rPr>
        <w:t>3.5本项目不接受联合体参选；</w:t>
      </w:r>
    </w:p>
    <w:p>
      <w:pPr>
        <w:spacing w:line="360" w:lineRule="auto"/>
        <w:ind w:firstLine="480" w:firstLineChars="200"/>
        <w:rPr>
          <w:rFonts w:ascii="宋体" w:hAnsi="宋体"/>
          <w:sz w:val="24"/>
          <w:highlight w:val="none"/>
        </w:rPr>
      </w:pPr>
      <w:r>
        <w:rPr>
          <w:rFonts w:hint="eastAsia" w:ascii="宋体" w:hAnsi="宋体"/>
          <w:sz w:val="24"/>
          <w:highlight w:val="none"/>
        </w:rPr>
        <w:t>3.6拒绝列入政府不良行为记录期间的企业或个人参选。</w:t>
      </w:r>
    </w:p>
    <w:p>
      <w:pPr>
        <w:tabs>
          <w:tab w:val="left" w:pos="3420"/>
        </w:tabs>
        <w:spacing w:line="360" w:lineRule="auto"/>
        <w:outlineLvl w:val="0"/>
        <w:rPr>
          <w:rFonts w:ascii="宋体" w:hAnsi="宋体"/>
          <w:b/>
          <w:snapToGrid w:val="0"/>
          <w:color w:val="000000"/>
          <w:sz w:val="24"/>
          <w:highlight w:val="none"/>
        </w:rPr>
      </w:pPr>
      <w:bookmarkStart w:id="28" w:name="_Toc493148948"/>
      <w:bookmarkStart w:id="29" w:name="_Toc514418697"/>
      <w:bookmarkStart w:id="30" w:name="_Toc424540988"/>
      <w:bookmarkStart w:id="31" w:name="_Toc527121687"/>
      <w:bookmarkStart w:id="32" w:name="_Toc424286785"/>
      <w:bookmarkStart w:id="33" w:name="_Toc416163547"/>
      <w:bookmarkStart w:id="34" w:name="_Toc528669592"/>
      <w:bookmarkStart w:id="35" w:name="_Toc514227629"/>
      <w:bookmarkStart w:id="36" w:name="_Toc416186771"/>
      <w:bookmarkStart w:id="37" w:name="_Toc534976476"/>
      <w:bookmarkStart w:id="38" w:name="_Toc165389704"/>
      <w:bookmarkStart w:id="39" w:name="_Toc165389653"/>
      <w:r>
        <w:rPr>
          <w:rFonts w:hint="eastAsia" w:ascii="宋体" w:hAnsi="宋体"/>
          <w:b/>
          <w:snapToGrid w:val="0"/>
          <w:color w:val="000000"/>
          <w:sz w:val="24"/>
          <w:highlight w:val="none"/>
        </w:rPr>
        <w:t>4．</w:t>
      </w:r>
      <w:bookmarkEnd w:id="28"/>
      <w:bookmarkEnd w:id="29"/>
      <w:bookmarkEnd w:id="30"/>
      <w:bookmarkEnd w:id="31"/>
      <w:bookmarkEnd w:id="32"/>
      <w:bookmarkEnd w:id="33"/>
      <w:bookmarkEnd w:id="34"/>
      <w:bookmarkEnd w:id="35"/>
      <w:bookmarkEnd w:id="36"/>
      <w:bookmarkEnd w:id="37"/>
      <w:r>
        <w:rPr>
          <w:rFonts w:hint="eastAsia" w:ascii="宋体" w:hAnsi="宋体"/>
          <w:b/>
          <w:snapToGrid w:val="0"/>
          <w:color w:val="000000"/>
          <w:sz w:val="24"/>
          <w:highlight w:val="none"/>
        </w:rPr>
        <w:t>比选文件的获取</w:t>
      </w:r>
      <w:bookmarkEnd w:id="38"/>
      <w:bookmarkEnd w:id="39"/>
    </w:p>
    <w:p>
      <w:pPr>
        <w:spacing w:line="360" w:lineRule="auto"/>
        <w:ind w:firstLine="480" w:firstLineChars="200"/>
        <w:rPr>
          <w:rFonts w:ascii="宋体" w:hAnsi="宋体"/>
          <w:sz w:val="24"/>
          <w:highlight w:val="none"/>
        </w:rPr>
      </w:pPr>
      <w:r>
        <w:rPr>
          <w:rFonts w:hint="eastAsia" w:ascii="宋体" w:hAnsi="宋体"/>
          <w:sz w:val="24"/>
          <w:highlight w:val="none"/>
        </w:rPr>
        <w:t>4.1凡有意参加本项目的潜在申请人，请于</w:t>
      </w:r>
      <w:r>
        <w:rPr>
          <w:rFonts w:hint="eastAsia" w:ascii="宋体" w:hAnsi="宋体"/>
          <w:color w:val="000000"/>
          <w:sz w:val="24"/>
          <w:highlight w:val="none"/>
        </w:rPr>
        <w:t>2024年5月24日至2024年5月2</w:t>
      </w:r>
      <w:r>
        <w:rPr>
          <w:rFonts w:hint="eastAsia" w:ascii="宋体" w:hAnsi="宋体"/>
          <w:color w:val="000000"/>
          <w:sz w:val="24"/>
          <w:highlight w:val="none"/>
          <w:lang w:val="en-US" w:eastAsia="zh-CN"/>
        </w:rPr>
        <w:t>8</w:t>
      </w:r>
      <w:r>
        <w:rPr>
          <w:rFonts w:hint="eastAsia" w:ascii="宋体" w:hAnsi="宋体"/>
          <w:color w:val="000000"/>
          <w:sz w:val="24"/>
          <w:highlight w:val="none"/>
        </w:rPr>
        <w:t>日</w:t>
      </w:r>
      <w:r>
        <w:rPr>
          <w:rFonts w:hint="eastAsia" w:ascii="宋体" w:hAnsi="宋体" w:cs="宋体"/>
          <w:sz w:val="24"/>
          <w:highlight w:val="none"/>
        </w:rPr>
        <w:t>（法定公休日、法定节假日除外），每日9时至16时</w:t>
      </w:r>
      <w:r>
        <w:rPr>
          <w:rFonts w:hint="eastAsia" w:ascii="宋体" w:hAnsi="宋体"/>
          <w:sz w:val="24"/>
          <w:highlight w:val="none"/>
        </w:rPr>
        <w:t>（北京时间，下同）</w:t>
      </w:r>
      <w:r>
        <w:rPr>
          <w:rFonts w:hint="eastAsia" w:ascii="宋体" w:hAnsi="宋体" w:cs="宋体"/>
          <w:sz w:val="24"/>
          <w:highlight w:val="none"/>
        </w:rPr>
        <w:t>将以下资料（清晰可辨的加盖单位公章的PDF格式彩色扫描件）发送至JLFZ888888@163.com</w:t>
      </w:r>
      <w:r>
        <w:rPr>
          <w:rFonts w:hint="eastAsia" w:ascii="宋体" w:hAnsi="宋体"/>
          <w:sz w:val="24"/>
          <w:highlight w:val="none"/>
        </w:rPr>
        <w:t>（邮件标题项目名称－参选单位全称），并及时拨打代理人电话确认相关信息，过期不予受理，获取文件成功的标志以收到代理人比选文件为准：</w:t>
      </w:r>
    </w:p>
    <w:p>
      <w:pPr>
        <w:spacing w:line="360" w:lineRule="auto"/>
        <w:ind w:firstLine="480" w:firstLineChars="200"/>
        <w:rPr>
          <w:rFonts w:ascii="宋体" w:hAnsi="宋体"/>
          <w:sz w:val="24"/>
          <w:highlight w:val="none"/>
        </w:rPr>
      </w:pPr>
      <w:r>
        <w:rPr>
          <w:rFonts w:hint="eastAsia" w:ascii="宋体" w:hAnsi="宋体"/>
          <w:sz w:val="24"/>
          <w:highlight w:val="none"/>
        </w:rPr>
        <w:t>（1）营业执照副本（或法人证书）；</w:t>
      </w:r>
    </w:p>
    <w:p>
      <w:pPr>
        <w:spacing w:line="360" w:lineRule="auto"/>
        <w:ind w:firstLine="480" w:firstLineChars="200"/>
        <w:rPr>
          <w:rFonts w:ascii="宋体" w:hAnsi="宋体"/>
          <w:sz w:val="24"/>
          <w:highlight w:val="none"/>
        </w:rPr>
      </w:pPr>
      <w:r>
        <w:rPr>
          <w:rFonts w:hint="eastAsia" w:ascii="宋体" w:hAnsi="宋体"/>
          <w:sz w:val="24"/>
          <w:highlight w:val="none"/>
        </w:rPr>
        <w:t>（2）单位基本账户开户许可证（或基本账户信息）；</w:t>
      </w:r>
    </w:p>
    <w:p>
      <w:pPr>
        <w:spacing w:line="360" w:lineRule="auto"/>
        <w:ind w:firstLine="480" w:firstLineChars="200"/>
        <w:rPr>
          <w:rFonts w:ascii="宋体" w:hAnsi="宋体"/>
          <w:sz w:val="24"/>
          <w:highlight w:val="none"/>
        </w:rPr>
      </w:pPr>
      <w:r>
        <w:rPr>
          <w:rFonts w:hint="eastAsia" w:ascii="宋体" w:hAnsi="宋体"/>
          <w:sz w:val="24"/>
          <w:highlight w:val="none"/>
        </w:rPr>
        <w:t>（3）近二年（2022年-至今）类似项目业绩（提供中标通知书或合同协议书或委托方出具的项目已完成证明）；</w:t>
      </w:r>
    </w:p>
    <w:p>
      <w:pPr>
        <w:spacing w:line="360" w:lineRule="auto"/>
        <w:ind w:firstLine="480" w:firstLineChars="200"/>
        <w:rPr>
          <w:rFonts w:ascii="宋体" w:hAnsi="宋体"/>
          <w:sz w:val="24"/>
          <w:highlight w:val="none"/>
        </w:rPr>
      </w:pPr>
      <w:r>
        <w:rPr>
          <w:rFonts w:hint="eastAsia" w:ascii="宋体" w:hAnsi="宋体"/>
          <w:sz w:val="24"/>
          <w:highlight w:val="none"/>
        </w:rPr>
        <w:t>（4）提供购买文件期间内“信用中国”网站（www.creditchina.gov.cn）和“中国政府采购网”（ccgp.gov.cn）上查询信用良好的官网截图：①登录“信用中国”网站，点击“下载信用信息”，打印法人和其他组织信用信息“概述”页并加盖公章；②登录“中国政府采购网”（ccgp.gov.cn），查询“政府采购严重违法失信行为信息记录”官网截图并加盖公章（以上截图须包括单位名称、查询内容及查询时间）；</w:t>
      </w:r>
    </w:p>
    <w:p>
      <w:pPr>
        <w:spacing w:line="360" w:lineRule="auto"/>
        <w:ind w:firstLine="480" w:firstLineChars="200"/>
        <w:rPr>
          <w:sz w:val="24"/>
          <w:szCs w:val="32"/>
          <w:highlight w:val="none"/>
        </w:rPr>
      </w:pPr>
      <w:r>
        <w:rPr>
          <w:rFonts w:hint="eastAsia" w:ascii="宋体" w:hAnsi="宋体"/>
          <w:sz w:val="24"/>
          <w:highlight w:val="none"/>
        </w:rPr>
        <w:t>（5）如企业法定代表人参加比选活动须提供企业法定代表人身份证明书、企业法定代表人身份证；如委派授权委托人参加比选活动须提供企业法定代表人授权委托书、授权委托人身份证。</w:t>
      </w:r>
    </w:p>
    <w:p>
      <w:pPr>
        <w:spacing w:line="360" w:lineRule="auto"/>
        <w:ind w:firstLine="480" w:firstLineChars="200"/>
        <w:rPr>
          <w:rFonts w:ascii="宋体" w:hAnsi="宋体"/>
          <w:sz w:val="24"/>
          <w:highlight w:val="none"/>
        </w:rPr>
      </w:pPr>
      <w:r>
        <w:rPr>
          <w:rFonts w:hint="eastAsia" w:ascii="宋体" w:hAnsi="宋体"/>
          <w:sz w:val="24"/>
          <w:highlight w:val="none"/>
        </w:rPr>
        <w:t>4.2比选文件售价：300元/套；过期不售，售后不退。</w:t>
      </w:r>
    </w:p>
    <w:p>
      <w:pPr>
        <w:tabs>
          <w:tab w:val="left" w:pos="3420"/>
        </w:tabs>
        <w:spacing w:line="360" w:lineRule="auto"/>
        <w:outlineLvl w:val="0"/>
        <w:rPr>
          <w:rFonts w:ascii="宋体" w:hAnsi="宋体"/>
          <w:b/>
          <w:snapToGrid w:val="0"/>
          <w:color w:val="000000"/>
          <w:sz w:val="24"/>
          <w:highlight w:val="none"/>
        </w:rPr>
      </w:pPr>
      <w:bookmarkStart w:id="40" w:name="_Toc165389705"/>
      <w:bookmarkStart w:id="41" w:name="_Toc20788"/>
      <w:bookmarkStart w:id="42" w:name="_Toc165389654"/>
      <w:r>
        <w:rPr>
          <w:rFonts w:hint="eastAsia" w:ascii="宋体" w:hAnsi="宋体"/>
          <w:b/>
          <w:snapToGrid w:val="0"/>
          <w:color w:val="000000"/>
          <w:sz w:val="24"/>
          <w:highlight w:val="none"/>
        </w:rPr>
        <w:t>5．参选文件的递交</w:t>
      </w:r>
      <w:bookmarkEnd w:id="40"/>
      <w:bookmarkEnd w:id="41"/>
      <w:bookmarkEnd w:id="42"/>
    </w:p>
    <w:p>
      <w:pPr>
        <w:adjustRightInd w:val="0"/>
        <w:snapToGrid w:val="0"/>
        <w:spacing w:line="360" w:lineRule="auto"/>
        <w:ind w:firstLine="480" w:firstLineChars="200"/>
        <w:rPr>
          <w:rFonts w:ascii="宋体" w:hAnsi="宋体"/>
          <w:color w:val="FF0000"/>
          <w:sz w:val="24"/>
          <w:highlight w:val="none"/>
        </w:rPr>
      </w:pPr>
      <w:r>
        <w:rPr>
          <w:rFonts w:hint="eastAsia" w:ascii="宋体" w:hAnsi="宋体"/>
          <w:color w:val="000000"/>
          <w:sz w:val="24"/>
          <w:highlight w:val="none"/>
        </w:rPr>
        <w:t>5.1参选文件递交的截止时间（参选截止时间，下同）：2024年6月3日上午9时30分；参选文件递交地点：吉利招公共资源标准化交易中心</w:t>
      </w:r>
      <w:r>
        <w:rPr>
          <w:rFonts w:hint="eastAsia" w:ascii="宋体" w:hAnsi="宋体"/>
          <w:color w:val="000000"/>
          <w:sz w:val="24"/>
          <w:highlight w:val="none"/>
          <w:lang w:eastAsia="zh-CN"/>
        </w:rPr>
        <w:t>第一开标室</w:t>
      </w:r>
      <w:r>
        <w:rPr>
          <w:rFonts w:hint="eastAsia" w:ascii="宋体" w:hAnsi="宋体"/>
          <w:color w:val="000000"/>
          <w:sz w:val="24"/>
          <w:highlight w:val="none"/>
        </w:rPr>
        <w:t>（长春市高新区鸿达街248号吉林日报副楼4楼）；</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5.2逾期送达的或者未送达指定地点的参选文件，建设单位不予受理；</w:t>
      </w:r>
    </w:p>
    <w:p>
      <w:pPr>
        <w:pStyle w:val="14"/>
        <w:ind w:firstLine="480" w:firstLineChars="200"/>
        <w:rPr>
          <w:rFonts w:ascii="宋体" w:hAnsi="宋体"/>
          <w:sz w:val="24"/>
          <w:highlight w:val="none"/>
        </w:rPr>
      </w:pPr>
      <w:r>
        <w:rPr>
          <w:rFonts w:hint="eastAsia" w:ascii="宋体" w:hAnsi="宋体"/>
          <w:sz w:val="24"/>
          <w:highlight w:val="none"/>
          <w:lang w:val="zh-CN"/>
        </w:rPr>
        <w:t>5.3有效</w:t>
      </w:r>
      <w:r>
        <w:rPr>
          <w:rFonts w:hint="eastAsia" w:ascii="宋体" w:hAnsi="宋体"/>
          <w:sz w:val="24"/>
          <w:highlight w:val="none"/>
        </w:rPr>
        <w:t>参选人</w:t>
      </w:r>
      <w:r>
        <w:rPr>
          <w:rFonts w:hint="eastAsia" w:ascii="宋体" w:hAnsi="宋体"/>
          <w:sz w:val="24"/>
          <w:highlight w:val="none"/>
          <w:lang w:val="zh-CN"/>
        </w:rPr>
        <w:t>不足三家时，建设单位另行组织</w:t>
      </w:r>
      <w:r>
        <w:rPr>
          <w:rFonts w:hint="eastAsia" w:ascii="宋体" w:hAnsi="宋体"/>
          <w:sz w:val="24"/>
          <w:highlight w:val="none"/>
        </w:rPr>
        <w:t>比选</w:t>
      </w:r>
      <w:r>
        <w:rPr>
          <w:rFonts w:hint="eastAsia" w:ascii="宋体" w:hAnsi="宋体"/>
          <w:sz w:val="24"/>
          <w:highlight w:val="none"/>
          <w:lang w:val="zh-CN"/>
        </w:rPr>
        <w:t>。</w:t>
      </w:r>
    </w:p>
    <w:p>
      <w:pPr>
        <w:tabs>
          <w:tab w:val="left" w:pos="3420"/>
        </w:tabs>
        <w:spacing w:line="360" w:lineRule="auto"/>
        <w:outlineLvl w:val="0"/>
        <w:rPr>
          <w:rFonts w:ascii="宋体" w:hAnsi="宋体"/>
          <w:b/>
          <w:snapToGrid w:val="0"/>
          <w:color w:val="000000"/>
          <w:sz w:val="24"/>
          <w:highlight w:val="none"/>
        </w:rPr>
      </w:pPr>
      <w:bookmarkStart w:id="43" w:name="_Toc28277"/>
      <w:bookmarkStart w:id="44" w:name="_Toc165389706"/>
      <w:bookmarkStart w:id="45" w:name="_Toc165389655"/>
      <w:r>
        <w:rPr>
          <w:rFonts w:hint="eastAsia" w:ascii="宋体" w:hAnsi="宋体"/>
          <w:b/>
          <w:snapToGrid w:val="0"/>
          <w:color w:val="000000"/>
          <w:sz w:val="24"/>
          <w:highlight w:val="none"/>
        </w:rPr>
        <w:t>6.发布媒介</w:t>
      </w:r>
      <w:bookmarkEnd w:id="43"/>
      <w:bookmarkEnd w:id="44"/>
      <w:bookmarkEnd w:id="45"/>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本次比选公告在《吉林省水务投资集团有限公司官方网站》上发布。</w:t>
      </w:r>
    </w:p>
    <w:p>
      <w:pPr>
        <w:tabs>
          <w:tab w:val="left" w:pos="3420"/>
        </w:tabs>
        <w:spacing w:line="360" w:lineRule="auto"/>
        <w:outlineLvl w:val="0"/>
        <w:rPr>
          <w:rFonts w:ascii="宋体" w:hAnsi="宋体"/>
          <w:b/>
          <w:snapToGrid w:val="0"/>
          <w:color w:val="000000"/>
          <w:sz w:val="24"/>
          <w:highlight w:val="none"/>
        </w:rPr>
      </w:pPr>
      <w:bookmarkStart w:id="46" w:name="_Toc11880"/>
      <w:bookmarkStart w:id="47" w:name="_Toc165389656"/>
      <w:bookmarkStart w:id="48" w:name="_Toc165389707"/>
      <w:r>
        <w:rPr>
          <w:rFonts w:hint="eastAsia" w:ascii="宋体" w:hAnsi="宋体"/>
          <w:b/>
          <w:snapToGrid w:val="0"/>
          <w:color w:val="000000"/>
          <w:sz w:val="24"/>
          <w:highlight w:val="none"/>
        </w:rPr>
        <w:t>7.联系方式</w:t>
      </w:r>
      <w:bookmarkEnd w:id="46"/>
      <w:bookmarkEnd w:id="47"/>
      <w:bookmarkEnd w:id="48"/>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建设单位：吉林省城市供水有限公司</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地址：吉林省长春市南关区东北亚国际金融中心6号楼</w:t>
      </w:r>
    </w:p>
    <w:p>
      <w:pPr>
        <w:adjustRightInd w:val="0"/>
        <w:snapToGrid w:val="0"/>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联系人：王柏</w:t>
      </w:r>
      <w:r>
        <w:rPr>
          <w:rFonts w:hint="eastAsia" w:ascii="宋体" w:hAnsi="宋体"/>
          <w:sz w:val="24"/>
          <w:highlight w:val="none"/>
          <w:lang w:val="en-US" w:eastAsia="zh-CN"/>
        </w:rPr>
        <w:t>建</w:t>
      </w:r>
    </w:p>
    <w:p>
      <w:pPr>
        <w:adjustRightInd w:val="0"/>
        <w:snapToGrid w:val="0"/>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联系电话：</w:t>
      </w:r>
      <w:r>
        <w:rPr>
          <w:rFonts w:hint="eastAsia" w:ascii="宋体" w:hAnsi="宋体"/>
          <w:sz w:val="24"/>
          <w:highlight w:val="none"/>
          <w:lang w:val="en-US" w:eastAsia="zh-CN"/>
        </w:rPr>
        <w:t>18088683376</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代理人：法正项目管理集团有限公司</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地址：长春市南关区临河街与南三环交汇中海国际广场A座</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联系人：吴庆宇</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联系电话：18543004305（办公电话）</w:t>
      </w:r>
    </w:p>
    <w:p>
      <w:pPr>
        <w:rPr>
          <w:highlight w:val="none"/>
        </w:rPr>
      </w:pPr>
    </w:p>
    <w:p>
      <w:pPr>
        <w:adjustRightInd w:val="0"/>
        <w:snapToGrid w:val="0"/>
        <w:spacing w:line="360" w:lineRule="auto"/>
        <w:ind w:firstLine="480" w:firstLineChars="200"/>
        <w:rPr>
          <w:rFonts w:ascii="宋体" w:hAnsi="宋体"/>
          <w:sz w:val="24"/>
          <w:highlight w:val="none"/>
        </w:rPr>
      </w:pPr>
    </w:p>
    <w:p>
      <w:pPr>
        <w:rPr>
          <w:highlight w:val="none"/>
        </w:rPr>
      </w:pPr>
    </w:p>
    <w:p>
      <w:pPr>
        <w:adjustRightInd w:val="0"/>
        <w:snapToGrid w:val="0"/>
        <w:spacing w:line="360" w:lineRule="auto"/>
        <w:ind w:firstLine="480" w:firstLineChars="200"/>
        <w:rPr>
          <w:rFonts w:ascii="宋体" w:hAnsi="宋体"/>
          <w:sz w:val="24"/>
          <w:highlight w:val="none"/>
        </w:rPr>
      </w:pPr>
    </w:p>
    <w:p>
      <w:pPr>
        <w:tabs>
          <w:tab w:val="left" w:pos="426"/>
        </w:tabs>
        <w:spacing w:line="360" w:lineRule="auto"/>
        <w:ind w:firstLine="442" w:firstLineChars="200"/>
        <w:rPr>
          <w:rFonts w:ascii="宋体" w:hAnsi="宋体"/>
          <w:b/>
          <w:sz w:val="22"/>
          <w:szCs w:val="22"/>
          <w:highlight w:val="none"/>
        </w:rPr>
        <w:sectPr>
          <w:footerReference r:id="rId9" w:type="default"/>
          <w:pgSz w:w="11907" w:h="16840"/>
          <w:pgMar w:top="1440" w:right="1080" w:bottom="1440" w:left="1080" w:header="1134" w:footer="992" w:gutter="0"/>
          <w:pgNumType w:start="1"/>
          <w:cols w:space="720" w:num="1"/>
          <w:docGrid w:linePitch="312" w:charSpace="0"/>
        </w:sectPr>
      </w:pPr>
    </w:p>
    <w:p>
      <w:pPr>
        <w:spacing w:line="360" w:lineRule="auto"/>
        <w:jc w:val="center"/>
        <w:outlineLvl w:val="0"/>
        <w:rPr>
          <w:rFonts w:ascii="宋体" w:hAnsi="宋体" w:cs="宋体"/>
          <w:b/>
          <w:sz w:val="40"/>
          <w:szCs w:val="36"/>
          <w:highlight w:val="none"/>
          <w:lang w:bidi="ar"/>
        </w:rPr>
      </w:pPr>
      <w:bookmarkStart w:id="49" w:name="_Toc165389708"/>
      <w:r>
        <w:rPr>
          <w:rFonts w:hint="eastAsia" w:ascii="宋体" w:hAnsi="宋体" w:cs="宋体"/>
          <w:b/>
          <w:sz w:val="40"/>
          <w:szCs w:val="36"/>
          <w:highlight w:val="none"/>
          <w:lang w:bidi="ar"/>
        </w:rPr>
        <w:t>第二章  比选须知</w:t>
      </w:r>
      <w:bookmarkEnd w:id="49"/>
    </w:p>
    <w:p>
      <w:pPr>
        <w:pStyle w:val="4"/>
        <w:jc w:val="center"/>
        <w:rPr>
          <w:rFonts w:ascii="宋体" w:hAnsi="宋体" w:cs="宋体"/>
          <w:sz w:val="28"/>
          <w:szCs w:val="24"/>
          <w:highlight w:val="none"/>
        </w:rPr>
      </w:pPr>
      <w:r>
        <w:rPr>
          <w:rFonts w:hint="eastAsia" w:ascii="宋体" w:hAnsi="宋体" w:cs="宋体"/>
          <w:sz w:val="28"/>
          <w:szCs w:val="24"/>
          <w:highlight w:val="none"/>
        </w:rPr>
        <w:t>比选须知前附表</w:t>
      </w:r>
    </w:p>
    <w:tbl>
      <w:tblPr>
        <w:tblStyle w:val="3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129"/>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jc w:val="center"/>
              <w:rPr>
                <w:rFonts w:ascii="宋体" w:hAnsi="宋体" w:cs="宋体"/>
                <w:b/>
                <w:szCs w:val="21"/>
                <w:highlight w:val="none"/>
              </w:rPr>
            </w:pPr>
            <w:r>
              <w:rPr>
                <w:rFonts w:hint="eastAsia" w:ascii="宋体" w:hAnsi="宋体" w:cs="宋体"/>
                <w:b/>
                <w:szCs w:val="21"/>
                <w:highlight w:val="none"/>
              </w:rPr>
              <w:t>条款号</w:t>
            </w:r>
          </w:p>
        </w:tc>
        <w:tc>
          <w:tcPr>
            <w:tcW w:w="2129" w:type="dxa"/>
            <w:vAlign w:val="center"/>
          </w:tcPr>
          <w:p>
            <w:pPr>
              <w:jc w:val="center"/>
              <w:rPr>
                <w:rFonts w:ascii="宋体" w:hAnsi="宋体" w:cs="宋体"/>
                <w:b/>
                <w:szCs w:val="21"/>
                <w:highlight w:val="none"/>
              </w:rPr>
            </w:pPr>
            <w:r>
              <w:rPr>
                <w:rFonts w:hint="eastAsia" w:ascii="宋体" w:hAnsi="宋体" w:cs="宋体"/>
                <w:b/>
                <w:szCs w:val="21"/>
                <w:highlight w:val="none"/>
              </w:rPr>
              <w:t>条 款 名 称</w:t>
            </w:r>
          </w:p>
        </w:tc>
        <w:tc>
          <w:tcPr>
            <w:tcW w:w="6265" w:type="dxa"/>
            <w:vAlign w:val="center"/>
          </w:tcPr>
          <w:p>
            <w:pPr>
              <w:jc w:val="center"/>
              <w:rPr>
                <w:rFonts w:ascii="宋体" w:hAnsi="宋体" w:cs="宋体"/>
                <w:b/>
                <w:szCs w:val="21"/>
                <w:highlight w:val="none"/>
              </w:rPr>
            </w:pPr>
            <w:r>
              <w:rPr>
                <w:rFonts w:hint="eastAsia" w:ascii="宋体" w:hAnsi="宋体" w:cs="宋体"/>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lang w:val="zh-CN"/>
              </w:rPr>
              <w:t>1.</w:t>
            </w:r>
            <w:r>
              <w:rPr>
                <w:rFonts w:hint="eastAsia" w:ascii="宋体" w:hAnsi="宋体" w:cs="宋体"/>
                <w:bCs/>
                <w:szCs w:val="21"/>
                <w:highlight w:val="none"/>
              </w:rPr>
              <w:t>2</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建设单位</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建设单位：吉林省城市供水有限公司</w:t>
            </w:r>
          </w:p>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地址：吉林省长春市南关区东北亚国际金融中心6号楼</w:t>
            </w:r>
          </w:p>
          <w:p>
            <w:pPr>
              <w:tabs>
                <w:tab w:val="left" w:pos="426"/>
                <w:tab w:val="left" w:pos="540"/>
              </w:tabs>
              <w:rPr>
                <w:rFonts w:ascii="宋体" w:hAnsi="宋体" w:cs="宋体"/>
                <w:bCs/>
                <w:color w:val="000000"/>
                <w:szCs w:val="21"/>
                <w:highlight w:val="none"/>
                <w:lang w:val="zh-CN"/>
              </w:rPr>
            </w:pPr>
            <w:r>
              <w:rPr>
                <w:rFonts w:hint="eastAsia" w:ascii="宋体" w:hAnsi="宋体" w:cs="宋体"/>
                <w:bCs/>
                <w:color w:val="000000"/>
                <w:szCs w:val="21"/>
                <w:highlight w:val="none"/>
                <w:lang w:val="zh-CN"/>
              </w:rPr>
              <w:t>联系人：王柏健</w:t>
            </w:r>
          </w:p>
          <w:p>
            <w:pPr>
              <w:tabs>
                <w:tab w:val="left" w:pos="426"/>
                <w:tab w:val="left" w:pos="540"/>
              </w:tabs>
              <w:rPr>
                <w:rFonts w:ascii="宋体" w:hAnsi="宋体" w:cs="宋体"/>
                <w:bCs/>
                <w:szCs w:val="21"/>
                <w:highlight w:val="none"/>
                <w:lang w:val="zh-CN"/>
              </w:rPr>
            </w:pPr>
            <w:r>
              <w:rPr>
                <w:rFonts w:hint="eastAsia" w:ascii="宋体" w:hAnsi="宋体" w:cs="宋体"/>
                <w:bCs/>
                <w:color w:val="000000"/>
                <w:szCs w:val="21"/>
                <w:highlight w:val="none"/>
                <w:lang w:val="zh-CN"/>
              </w:rPr>
              <w:t>联系电话：</w:t>
            </w:r>
            <w:r>
              <w:rPr>
                <w:rFonts w:hint="eastAsia" w:ascii="宋体" w:hAnsi="宋体" w:cs="宋体"/>
                <w:bCs/>
                <w:color w:val="000000"/>
                <w:szCs w:val="21"/>
                <w:highlight w:val="none"/>
              </w:rPr>
              <w:t>0431-</w:t>
            </w:r>
            <w:r>
              <w:rPr>
                <w:rFonts w:hint="eastAsia" w:ascii="宋体" w:hAnsi="宋体" w:cs="宋体"/>
                <w:bCs/>
                <w:color w:val="000000"/>
                <w:szCs w:val="21"/>
                <w:highlight w:val="none"/>
                <w:lang w:val="zh-CN"/>
              </w:rPr>
              <w:t>81912059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lang w:val="zh-CN"/>
              </w:rPr>
              <w:t>1.</w:t>
            </w:r>
            <w:r>
              <w:rPr>
                <w:rFonts w:hint="eastAsia" w:ascii="宋体" w:hAnsi="宋体" w:cs="宋体"/>
                <w:bCs/>
                <w:szCs w:val="21"/>
                <w:highlight w:val="none"/>
              </w:rPr>
              <w:t>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代理人</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代理人：法正项目管理集团有限公司</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地址：长春市南关区临河街与南三环交汇中海国际广场A座</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联系人：吴庆宇</w:t>
            </w:r>
          </w:p>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联系电话：18543004305（办公电话）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1.4</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项目名称</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吉林省中部城市引松供水工程标准化管理咨询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1.5</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项目建设地点</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吉林省长春市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1.6</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资金落实情况</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1.7</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规模及内容</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1）编制《吉林省中部城市引松供水工程运行管理能力提升规划》；（2）协调开展调水工程标准化创建调研交流；（3）组织开展管理咨询；（4）组织开展工程标准化管理自评；（5）配合开展工程标准化管理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1.8</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服务期限</w:t>
            </w:r>
          </w:p>
        </w:tc>
        <w:tc>
          <w:tcPr>
            <w:tcW w:w="6265" w:type="dxa"/>
            <w:vAlign w:val="center"/>
          </w:tcPr>
          <w:p>
            <w:pPr>
              <w:tabs>
                <w:tab w:val="left" w:pos="426"/>
                <w:tab w:val="left" w:pos="540"/>
              </w:tabs>
              <w:jc w:val="left"/>
              <w:rPr>
                <w:rFonts w:ascii="宋体" w:hAnsi="宋体" w:cs="宋体"/>
                <w:bCs/>
                <w:szCs w:val="21"/>
                <w:highlight w:val="none"/>
                <w:lang w:val="zh-CN"/>
              </w:rPr>
            </w:pPr>
            <w:r>
              <w:rPr>
                <w:rFonts w:hint="eastAsia" w:ascii="宋体" w:hAnsi="宋体" w:cs="宋体"/>
                <w:bCs/>
                <w:szCs w:val="21"/>
                <w:highlight w:val="none"/>
                <w:lang w:val="zh-CN"/>
              </w:rPr>
              <w:t>2024年6月15日至2025年6月30日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1.9</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质量标准</w:t>
            </w:r>
          </w:p>
        </w:tc>
        <w:tc>
          <w:tcPr>
            <w:tcW w:w="6265" w:type="dxa"/>
            <w:vAlign w:val="center"/>
          </w:tcPr>
          <w:p>
            <w:pPr>
              <w:rPr>
                <w:rFonts w:ascii="宋体" w:hAnsi="宋体" w:cs="宋体"/>
                <w:bCs/>
                <w:szCs w:val="21"/>
                <w:highlight w:val="none"/>
              </w:rPr>
            </w:pPr>
            <w:r>
              <w:rPr>
                <w:rFonts w:hint="eastAsia" w:ascii="宋体" w:hAnsi="宋体" w:cs="宋体"/>
                <w:bCs/>
                <w:szCs w:val="21"/>
                <w:highlight w:val="none"/>
              </w:rPr>
              <w:t>符合国家现行有关标准、规范的规定并满足向水行政主管部门报批要求。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2.1</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参选单位资质条件、能力和信誉</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
                <w:szCs w:val="21"/>
                <w:highlight w:val="none"/>
              </w:rPr>
              <w:t>资质要求：</w:t>
            </w:r>
            <w:r>
              <w:rPr>
                <w:rFonts w:hint="eastAsia" w:ascii="宋体" w:hAnsi="宋体" w:cs="宋体"/>
                <w:bCs/>
                <w:szCs w:val="21"/>
                <w:highlight w:val="none"/>
              </w:rPr>
              <w:t>在中华人民共和国境内注册，能够独立承担民事责任的法人或其他组织形式；</w:t>
            </w:r>
          </w:p>
          <w:p>
            <w:pPr>
              <w:tabs>
                <w:tab w:val="left" w:pos="426"/>
                <w:tab w:val="left" w:pos="540"/>
              </w:tabs>
              <w:rPr>
                <w:rFonts w:ascii="宋体" w:hAnsi="宋体" w:cs="宋体"/>
                <w:bCs/>
                <w:szCs w:val="21"/>
                <w:highlight w:val="none"/>
                <w:lang w:val="zh-CN"/>
              </w:rPr>
            </w:pPr>
            <w:r>
              <w:rPr>
                <w:rFonts w:hint="eastAsia" w:ascii="宋体" w:hAnsi="宋体" w:cs="宋体"/>
                <w:b/>
                <w:szCs w:val="21"/>
                <w:highlight w:val="none"/>
                <w:lang w:val="zh-CN"/>
              </w:rPr>
              <w:t>财务要求：</w:t>
            </w:r>
            <w:r>
              <w:rPr>
                <w:rFonts w:hint="eastAsia" w:ascii="宋体" w:hAnsi="宋体" w:cs="宋体"/>
                <w:bCs/>
                <w:szCs w:val="21"/>
                <w:highlight w:val="none"/>
                <w:lang w:val="zh-CN"/>
              </w:rPr>
              <w:t>参选人近三年（2021年</w:t>
            </w:r>
            <w:r>
              <w:rPr>
                <w:rFonts w:hint="eastAsia" w:ascii="宋体" w:hAnsi="宋体" w:cs="宋体"/>
                <w:bCs/>
                <w:szCs w:val="21"/>
                <w:highlight w:val="none"/>
              </w:rPr>
              <w:t>至今</w:t>
            </w:r>
            <w:r>
              <w:rPr>
                <w:rFonts w:hint="eastAsia" w:ascii="宋体" w:hAnsi="宋体" w:cs="宋体"/>
                <w:bCs/>
                <w:szCs w:val="21"/>
                <w:highlight w:val="none"/>
                <w:lang w:val="zh-CN"/>
              </w:rPr>
              <w:t>）财务状况良好，无破产、资产被冻结、接管等情况发生；</w:t>
            </w:r>
          </w:p>
          <w:p>
            <w:pPr>
              <w:tabs>
                <w:tab w:val="left" w:pos="426"/>
                <w:tab w:val="left" w:pos="540"/>
              </w:tabs>
              <w:rPr>
                <w:rFonts w:ascii="宋体" w:hAnsi="宋体" w:cs="宋体"/>
                <w:bCs/>
                <w:szCs w:val="21"/>
                <w:highlight w:val="none"/>
                <w:lang w:val="zh-CN"/>
              </w:rPr>
            </w:pPr>
            <w:r>
              <w:rPr>
                <w:rFonts w:hint="eastAsia" w:ascii="宋体" w:hAnsi="宋体" w:cs="宋体"/>
                <w:b/>
                <w:szCs w:val="21"/>
                <w:highlight w:val="none"/>
                <w:lang w:val="zh-CN"/>
              </w:rPr>
              <w:t>业绩要求：</w:t>
            </w:r>
            <w:r>
              <w:rPr>
                <w:rFonts w:hint="eastAsia" w:ascii="宋体" w:hAnsi="宋体"/>
                <w:szCs w:val="21"/>
                <w:highlight w:val="none"/>
              </w:rPr>
              <w:t>近二年（2022年-至今）有成功组织开展或通过水利工程标准化管理评价的相关业绩</w:t>
            </w:r>
            <w:r>
              <w:rPr>
                <w:rFonts w:hint="eastAsia" w:ascii="宋体" w:hAnsi="宋体" w:cs="宋体"/>
                <w:bCs/>
                <w:szCs w:val="21"/>
                <w:highlight w:val="none"/>
                <w:lang w:val="zh-CN"/>
              </w:rPr>
              <w:t>；</w:t>
            </w:r>
          </w:p>
          <w:p>
            <w:pPr>
              <w:tabs>
                <w:tab w:val="left" w:pos="426"/>
                <w:tab w:val="left" w:pos="540"/>
              </w:tabs>
              <w:rPr>
                <w:rFonts w:ascii="宋体" w:hAnsi="宋体" w:cs="宋体"/>
                <w:bCs/>
                <w:szCs w:val="21"/>
                <w:highlight w:val="none"/>
              </w:rPr>
            </w:pPr>
            <w:r>
              <w:rPr>
                <w:rFonts w:hint="eastAsia" w:ascii="宋体" w:hAnsi="宋体" w:cs="宋体"/>
                <w:b/>
                <w:szCs w:val="21"/>
                <w:highlight w:val="none"/>
              </w:rPr>
              <w:t>信誉要求：</w:t>
            </w:r>
            <w:r>
              <w:rPr>
                <w:rFonts w:hint="eastAsia" w:ascii="宋体" w:hAnsi="宋体" w:cs="宋体"/>
                <w:bCs/>
                <w:szCs w:val="21"/>
                <w:highlight w:val="none"/>
              </w:rPr>
              <w:t>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tabs>
                <w:tab w:val="left" w:pos="426"/>
                <w:tab w:val="left" w:pos="540"/>
              </w:tabs>
              <w:rPr>
                <w:rFonts w:ascii="宋体" w:hAnsi="宋体" w:cs="宋体"/>
                <w:bCs/>
                <w:szCs w:val="21"/>
                <w:highlight w:val="none"/>
                <w:lang w:val="zh-CN"/>
              </w:rPr>
            </w:pPr>
            <w:r>
              <w:rPr>
                <w:rFonts w:hint="eastAsia" w:ascii="宋体" w:hAnsi="宋体" w:cs="宋体"/>
                <w:b/>
                <w:szCs w:val="21"/>
                <w:highlight w:val="none"/>
              </w:rPr>
              <w:t>人员要求</w:t>
            </w:r>
            <w:r>
              <w:rPr>
                <w:rFonts w:hint="eastAsia" w:ascii="宋体" w:hAnsi="宋体" w:cs="宋体"/>
                <w:b/>
                <w:szCs w:val="21"/>
                <w:highlight w:val="none"/>
                <w:lang w:val="zh-CN"/>
              </w:rPr>
              <w:t>：</w:t>
            </w:r>
            <w:r>
              <w:rPr>
                <w:rFonts w:hint="eastAsia" w:ascii="宋体" w:hAnsi="宋体" w:cs="宋体"/>
                <w:bCs/>
                <w:szCs w:val="21"/>
                <w:highlight w:val="none"/>
                <w:lang w:val="zh-CN"/>
              </w:rPr>
              <w:t>项目负责人须具备水利工程相关专业高级</w:t>
            </w:r>
            <w:r>
              <w:rPr>
                <w:rFonts w:hint="eastAsia" w:ascii="宋体" w:hAnsi="宋体" w:cs="宋体"/>
                <w:bCs/>
                <w:szCs w:val="21"/>
                <w:highlight w:val="none"/>
              </w:rPr>
              <w:t>及以上</w:t>
            </w:r>
            <w:r>
              <w:rPr>
                <w:rFonts w:hint="eastAsia" w:ascii="宋体" w:hAnsi="宋体" w:cs="宋体"/>
                <w:bCs/>
                <w:szCs w:val="21"/>
                <w:highlight w:val="none"/>
                <w:lang w:val="zh-CN"/>
              </w:rPr>
              <w:t>职称证书；</w:t>
            </w:r>
          </w:p>
          <w:p>
            <w:pPr>
              <w:tabs>
                <w:tab w:val="left" w:pos="426"/>
                <w:tab w:val="left" w:pos="540"/>
              </w:tabs>
              <w:rPr>
                <w:rFonts w:ascii="宋体" w:hAnsi="宋体" w:cs="宋体"/>
                <w:b/>
                <w:szCs w:val="21"/>
                <w:highlight w:val="none"/>
              </w:rPr>
            </w:pPr>
            <w:r>
              <w:rPr>
                <w:rFonts w:hint="eastAsia" w:ascii="宋体" w:hAnsi="宋体" w:cs="宋体"/>
                <w:b/>
                <w:szCs w:val="21"/>
                <w:highlight w:val="none"/>
              </w:rPr>
              <w:t>其他要求：</w:t>
            </w:r>
          </w:p>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1）具有投资参股关系的关联企业，或具有直接管理和被管理关系的母子公司，或同一母子公司的子公司，或法定代表人为同一人的两个及两个以上法人不得同时对同一个项目参加比选活动，与建设单位存在利害关系可能影响比选公正性的法人、其他组织或个人，不能参加比选活动。单位负责人为同一人或者存在控股、管理关系的不同单位，不能参加比选活动；违反上述规定的，其参选资格均按无效处理；</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（2）不接受被列入失信被执行人、重大税收违法失信主体、政府采购严重违法失信行为记录名单的参选单位参与比选（详见财库[2016]125号文件；</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（3）本项目不接受联合体参选；</w:t>
            </w:r>
          </w:p>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（4）拒绝列入政府不良行为记录期间的企业或个人参选</w:t>
            </w:r>
            <w:r>
              <w:rPr>
                <w:rFonts w:hint="eastAsia" w:ascii="宋体" w:hAnsi="宋体" w:cs="宋体"/>
                <w:bCs/>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4"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2.1</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构成比选文件的其他材料</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4"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3.</w:t>
            </w:r>
            <w:r>
              <w:rPr>
                <w:rFonts w:hint="eastAsia" w:ascii="宋体" w:hAnsi="宋体" w:cs="宋体"/>
                <w:bCs/>
                <w:szCs w:val="21"/>
                <w:highlight w:val="none"/>
              </w:rPr>
              <w:t>1</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构成参选文件的其他材料</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比选</w:t>
            </w:r>
            <w:r>
              <w:rPr>
                <w:rFonts w:hint="eastAsia" w:ascii="宋体" w:hAnsi="宋体" w:cs="宋体"/>
                <w:bCs/>
                <w:szCs w:val="21"/>
                <w:highlight w:val="none"/>
                <w:lang w:val="zh-CN"/>
              </w:rPr>
              <w:t>有效期</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90日历天（从比选截止之日算起）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3.4.1</w:t>
            </w:r>
          </w:p>
        </w:tc>
        <w:tc>
          <w:tcPr>
            <w:tcW w:w="2129" w:type="dxa"/>
            <w:vAlign w:val="center"/>
          </w:tcPr>
          <w:p>
            <w:pPr>
              <w:jc w:val="center"/>
              <w:rPr>
                <w:rFonts w:ascii="宋体" w:hAnsi="宋体" w:cs="宋体"/>
                <w:bCs/>
                <w:szCs w:val="21"/>
                <w:highlight w:val="none"/>
              </w:rPr>
            </w:pPr>
            <w:r>
              <w:rPr>
                <w:rFonts w:hint="eastAsia" w:ascii="宋体" w:hAnsi="宋体" w:cs="宋体"/>
                <w:szCs w:val="21"/>
                <w:highlight w:val="none"/>
              </w:rPr>
              <w:t>比选保证金</w:t>
            </w:r>
          </w:p>
        </w:tc>
        <w:tc>
          <w:tcPr>
            <w:tcW w:w="6265" w:type="dxa"/>
            <w:vAlign w:val="center"/>
          </w:tcPr>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rPr>
              <w:t>比选保证金</w:t>
            </w:r>
            <w:r>
              <w:rPr>
                <w:rFonts w:hint="eastAsia" w:ascii="宋体" w:hAnsi="宋体" w:cs="宋体"/>
                <w:color w:val="000000"/>
                <w:szCs w:val="21"/>
                <w:highlight w:val="none"/>
                <w:lang w:val="zh-CN"/>
              </w:rPr>
              <w:t>的形式：现金（银行转账、电汇，下同）或银行保函（提供担保保函的银行，经营范围中应具有“提供信用证服务及担保”业务）或担保公司保函（提供担保的担保公司应具有工信部门核发的《中华人民共和国融资性担保机构经营许可证》）。</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比选保证金的金额：人民币</w:t>
            </w:r>
            <w:r>
              <w:rPr>
                <w:rFonts w:hint="eastAsia" w:ascii="宋体" w:hAnsi="宋体" w:cs="宋体"/>
                <w:color w:val="000000"/>
                <w:szCs w:val="21"/>
                <w:highlight w:val="none"/>
              </w:rPr>
              <w:t>捌仟</w:t>
            </w:r>
            <w:r>
              <w:rPr>
                <w:rFonts w:hint="eastAsia" w:ascii="宋体" w:hAnsi="宋体" w:cs="宋体"/>
                <w:color w:val="000000"/>
                <w:szCs w:val="21"/>
                <w:highlight w:val="none"/>
                <w:lang w:val="zh-CN"/>
              </w:rPr>
              <w:t>元。</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单位名称：法正项目管理集团有限公司吉林省分公司</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收款账号：0710446011015200015292</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行号：314241000777</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开户行行名：吉林省九台农村商业银行南关支行</w:t>
            </w:r>
          </w:p>
          <w:p>
            <w:pPr>
              <w:tabs>
                <w:tab w:val="center" w:pos="2530"/>
              </w:tabs>
              <w:rPr>
                <w:rFonts w:ascii="宋体" w:hAnsi="宋体" w:cs="宋体"/>
                <w:color w:val="000000"/>
                <w:szCs w:val="21"/>
                <w:highlight w:val="none"/>
              </w:rPr>
            </w:pPr>
            <w:r>
              <w:rPr>
                <w:rFonts w:hint="eastAsia" w:ascii="宋体" w:hAnsi="宋体" w:cs="宋体"/>
                <w:color w:val="000000"/>
                <w:szCs w:val="21"/>
                <w:highlight w:val="none"/>
                <w:lang w:val="zh-CN"/>
              </w:rPr>
              <w:t>递交方式：参选单位须在</w:t>
            </w:r>
            <w:r>
              <w:rPr>
                <w:rFonts w:hint="eastAsia" w:ascii="宋体" w:hAnsi="宋体" w:cs="宋体"/>
                <w:color w:val="000000"/>
                <w:szCs w:val="21"/>
                <w:highlight w:val="none"/>
              </w:rPr>
              <w:t>比选</w:t>
            </w:r>
            <w:r>
              <w:rPr>
                <w:rFonts w:hint="eastAsia" w:ascii="宋体" w:hAnsi="宋体" w:cs="宋体"/>
                <w:color w:val="000000"/>
                <w:szCs w:val="21"/>
                <w:highlight w:val="none"/>
                <w:lang w:val="zh-CN"/>
              </w:rPr>
              <w:t>截止时间</w:t>
            </w:r>
            <w:r>
              <w:rPr>
                <w:rFonts w:hint="eastAsia" w:ascii="宋体" w:hAnsi="宋体" w:cs="宋体"/>
                <w:color w:val="000000"/>
                <w:szCs w:val="21"/>
                <w:highlight w:val="none"/>
              </w:rPr>
              <w:t>前（北京时间）将比选保证金存入代理人指定账户，比选保证金以最终到账日期为准。</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其他要求：</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rPr>
              <w:t>比选保证金</w:t>
            </w:r>
            <w:r>
              <w:rPr>
                <w:rFonts w:hint="eastAsia" w:ascii="宋体" w:hAnsi="宋体" w:cs="宋体"/>
                <w:color w:val="000000"/>
                <w:szCs w:val="21"/>
                <w:highlight w:val="none"/>
                <w:lang w:val="zh-CN"/>
              </w:rPr>
              <w:t>以现金方式递交的应在</w:t>
            </w:r>
            <w:r>
              <w:rPr>
                <w:rFonts w:hint="eastAsia" w:ascii="宋体" w:hAnsi="宋体" w:cs="宋体"/>
                <w:color w:val="000000"/>
                <w:szCs w:val="21"/>
                <w:highlight w:val="none"/>
              </w:rPr>
              <w:t>比选</w:t>
            </w:r>
            <w:r>
              <w:rPr>
                <w:rFonts w:hint="eastAsia" w:ascii="宋体" w:hAnsi="宋体" w:cs="宋体"/>
                <w:color w:val="000000"/>
                <w:szCs w:val="21"/>
                <w:highlight w:val="none"/>
                <w:lang w:val="zh-CN"/>
              </w:rPr>
              <w:t>截止时间</w:t>
            </w:r>
            <w:r>
              <w:rPr>
                <w:rFonts w:hint="eastAsia" w:ascii="宋体" w:hAnsi="宋体" w:cs="宋体"/>
                <w:color w:val="000000"/>
                <w:szCs w:val="21"/>
                <w:highlight w:val="none"/>
              </w:rPr>
              <w:t>前</w:t>
            </w:r>
            <w:r>
              <w:rPr>
                <w:rFonts w:hint="eastAsia" w:ascii="宋体" w:hAnsi="宋体" w:cs="宋体"/>
                <w:color w:val="000000"/>
                <w:szCs w:val="21"/>
                <w:highlight w:val="none"/>
                <w:lang w:val="zh-CN"/>
              </w:rPr>
              <w:t>从参选单位的基本账户转入到</w:t>
            </w:r>
            <w:r>
              <w:rPr>
                <w:rFonts w:hint="eastAsia" w:ascii="宋体" w:hAnsi="宋体" w:cs="宋体"/>
                <w:color w:val="000000"/>
                <w:szCs w:val="21"/>
                <w:highlight w:val="none"/>
              </w:rPr>
              <w:t>比选</w:t>
            </w:r>
            <w:r>
              <w:rPr>
                <w:rFonts w:hint="eastAsia" w:ascii="宋体" w:hAnsi="宋体" w:cs="宋体"/>
                <w:color w:val="000000"/>
                <w:szCs w:val="21"/>
                <w:highlight w:val="none"/>
                <w:lang w:val="zh-CN"/>
              </w:rPr>
              <w:t>文件指定的账户，并注明项目名称。以保函方式递交的保证金应在</w:t>
            </w:r>
            <w:r>
              <w:rPr>
                <w:rFonts w:hint="eastAsia" w:ascii="宋体" w:hAnsi="宋体" w:cs="宋体"/>
                <w:color w:val="000000"/>
                <w:szCs w:val="21"/>
                <w:highlight w:val="none"/>
              </w:rPr>
              <w:t>比选</w:t>
            </w:r>
            <w:r>
              <w:rPr>
                <w:rFonts w:hint="eastAsia" w:ascii="宋体" w:hAnsi="宋体" w:cs="宋体"/>
                <w:color w:val="000000"/>
                <w:szCs w:val="21"/>
                <w:highlight w:val="none"/>
                <w:lang w:val="zh-CN"/>
              </w:rPr>
              <w:t>截止时间</w:t>
            </w:r>
            <w:r>
              <w:rPr>
                <w:rFonts w:hint="eastAsia" w:ascii="宋体" w:hAnsi="宋体" w:cs="宋体"/>
                <w:color w:val="000000"/>
                <w:szCs w:val="21"/>
                <w:highlight w:val="none"/>
              </w:rPr>
              <w:t>前</w:t>
            </w:r>
            <w:r>
              <w:rPr>
                <w:rFonts w:hint="eastAsia" w:ascii="宋体" w:hAnsi="宋体" w:cs="宋体"/>
                <w:color w:val="000000"/>
                <w:szCs w:val="21"/>
                <w:highlight w:val="none"/>
                <w:lang w:val="zh-CN"/>
              </w:rPr>
              <w:t>将保函原件邮寄至</w:t>
            </w:r>
            <w:r>
              <w:rPr>
                <w:rFonts w:hint="eastAsia" w:ascii="宋体" w:hAnsi="宋体" w:cs="宋体"/>
                <w:color w:val="000000"/>
                <w:szCs w:val="21"/>
                <w:highlight w:val="none"/>
              </w:rPr>
              <w:t>代理人地址</w:t>
            </w:r>
            <w:r>
              <w:rPr>
                <w:rFonts w:hint="eastAsia" w:ascii="宋体" w:hAnsi="宋体" w:cs="宋体"/>
                <w:color w:val="000000"/>
                <w:szCs w:val="21"/>
                <w:highlight w:val="none"/>
                <w:lang w:val="zh-CN"/>
              </w:rPr>
              <w:t>。</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lang w:val="zh-CN"/>
              </w:rPr>
              <w:t>以现金方式提交比选保证金未按规定时限足额转入、非参选单位基本账户汇出的，保证金无效；以保函方式提交的比选保证金未按比选文件规定的时限和交纳方式，保函无效。</w:t>
            </w:r>
          </w:p>
          <w:p>
            <w:pPr>
              <w:tabs>
                <w:tab w:val="center" w:pos="2530"/>
              </w:tabs>
              <w:rPr>
                <w:rFonts w:ascii="宋体" w:hAnsi="宋体" w:cs="宋体"/>
                <w:color w:val="000000"/>
                <w:szCs w:val="21"/>
                <w:highlight w:val="none"/>
                <w:lang w:val="zh-CN"/>
              </w:rPr>
            </w:pPr>
            <w:r>
              <w:rPr>
                <w:rFonts w:hint="eastAsia" w:ascii="宋体" w:hAnsi="宋体" w:cs="宋体"/>
                <w:color w:val="000000"/>
                <w:szCs w:val="21"/>
                <w:highlight w:val="none"/>
              </w:rPr>
              <w:t>参选</w:t>
            </w:r>
            <w:r>
              <w:rPr>
                <w:rFonts w:hint="eastAsia" w:ascii="宋体" w:hAnsi="宋体" w:cs="宋体"/>
                <w:color w:val="000000"/>
                <w:szCs w:val="21"/>
                <w:highlight w:val="none"/>
                <w:lang w:val="zh-CN"/>
              </w:rPr>
              <w:t>单位递交比选保证金当日把银行付款凭证发到邮箱：</w:t>
            </w:r>
            <w:r>
              <w:rPr>
                <w:highlight w:val="none"/>
              </w:rPr>
              <w:fldChar w:fldCharType="begin"/>
            </w:r>
            <w:r>
              <w:rPr>
                <w:highlight w:val="none"/>
              </w:rPr>
              <w:instrText xml:space="preserve"> HYPERLINK "mailto:jlstxy888888@163.com" </w:instrText>
            </w:r>
            <w:r>
              <w:rPr>
                <w:highlight w:val="none"/>
              </w:rPr>
              <w:fldChar w:fldCharType="separate"/>
            </w:r>
            <w:r>
              <w:rPr>
                <w:rFonts w:hint="eastAsia" w:ascii="宋体" w:hAnsi="宋体" w:cs="宋体"/>
                <w:color w:val="000000"/>
                <w:szCs w:val="21"/>
                <w:highlight w:val="none"/>
              </w:rPr>
              <w:t>JLFZ888888@163.com</w:t>
            </w:r>
            <w:r>
              <w:rPr>
                <w:rFonts w:hint="eastAsia" w:ascii="宋体" w:hAnsi="宋体" w:cs="宋体"/>
                <w:color w:val="000000"/>
                <w:szCs w:val="21"/>
                <w:highlight w:val="none"/>
              </w:rPr>
              <w:fldChar w:fldCharType="end"/>
            </w:r>
          </w:p>
          <w:p>
            <w:pPr>
              <w:tabs>
                <w:tab w:val="center" w:pos="2530"/>
              </w:tabs>
              <w:rPr>
                <w:rFonts w:ascii="宋体" w:hAnsi="宋体" w:cs="宋体"/>
                <w:bCs/>
                <w:szCs w:val="21"/>
                <w:highlight w:val="none"/>
              </w:rPr>
            </w:pPr>
            <w:r>
              <w:rPr>
                <w:rFonts w:hint="eastAsia" w:ascii="宋体" w:hAnsi="宋体" w:cs="宋体"/>
                <w:color w:val="000000"/>
                <w:szCs w:val="21"/>
                <w:highlight w:val="none"/>
                <w:lang w:val="zh-CN"/>
              </w:rPr>
              <w:t>违反上述要求的其</w:t>
            </w:r>
            <w:r>
              <w:rPr>
                <w:rFonts w:hint="eastAsia" w:ascii="宋体" w:hAnsi="宋体" w:cs="宋体"/>
                <w:color w:val="000000"/>
                <w:szCs w:val="21"/>
                <w:highlight w:val="none"/>
              </w:rPr>
              <w:t>参选</w:t>
            </w:r>
            <w:r>
              <w:rPr>
                <w:rFonts w:hint="eastAsia" w:ascii="宋体" w:hAnsi="宋体" w:cs="宋体"/>
                <w:color w:val="000000"/>
                <w:szCs w:val="21"/>
                <w:highlight w:val="none"/>
                <w:lang w:val="zh-CN"/>
              </w:rPr>
              <w:t>文件按无效标处理。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3.4.2</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近年财务状况的年份要求</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近3年，指2021年至2023年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3.4.3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近年完成的类似项目的年份要求</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近</w:t>
            </w:r>
            <w:r>
              <w:rPr>
                <w:rFonts w:hint="eastAsia" w:ascii="宋体" w:hAnsi="宋体" w:cs="宋体"/>
                <w:bCs/>
                <w:szCs w:val="21"/>
                <w:highlight w:val="none"/>
                <w:lang w:val="en-US" w:eastAsia="zh-CN"/>
              </w:rPr>
              <w:t>2</w:t>
            </w:r>
            <w:r>
              <w:rPr>
                <w:rFonts w:hint="eastAsia" w:ascii="宋体" w:hAnsi="宋体" w:cs="宋体"/>
                <w:bCs/>
                <w:szCs w:val="21"/>
                <w:highlight w:val="none"/>
              </w:rPr>
              <w:t>年，指202</w:t>
            </w:r>
            <w:r>
              <w:rPr>
                <w:rFonts w:hint="eastAsia" w:ascii="宋体" w:hAnsi="宋体" w:cs="宋体"/>
                <w:bCs/>
                <w:szCs w:val="21"/>
                <w:highlight w:val="none"/>
                <w:lang w:val="en-US" w:eastAsia="zh-CN"/>
              </w:rPr>
              <w:t>2</w:t>
            </w:r>
            <w:r>
              <w:rPr>
                <w:rFonts w:hint="eastAsia" w:ascii="宋体" w:hAnsi="宋体" w:cs="宋体"/>
                <w:bCs/>
                <w:szCs w:val="21"/>
                <w:highlight w:val="none"/>
              </w:rPr>
              <w:t>年至今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3.4.5</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近年发生的诉讼及仲裁情况的年份要求</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近3年，指2021年至今</w:t>
            </w:r>
            <w:bookmarkStart w:id="173" w:name="_GoBack"/>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3.5.3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签字或盖章要求</w:t>
            </w:r>
          </w:p>
        </w:tc>
        <w:tc>
          <w:tcPr>
            <w:tcW w:w="6265" w:type="dxa"/>
            <w:vAlign w:val="center"/>
          </w:tcPr>
          <w:p>
            <w:pPr>
              <w:rPr>
                <w:rFonts w:ascii="宋体" w:hAnsi="宋体" w:cs="宋体"/>
                <w:bCs/>
                <w:szCs w:val="21"/>
                <w:highlight w:val="none"/>
              </w:rPr>
            </w:pPr>
            <w:r>
              <w:rPr>
                <w:rFonts w:hint="eastAsia" w:ascii="宋体" w:hAnsi="宋体" w:cs="宋体"/>
                <w:color w:val="000000"/>
                <w:szCs w:val="21"/>
                <w:highlight w:val="none"/>
              </w:rPr>
              <w:t>按比选文件提供的格式要求由参选单位的法定代表人或其委托代理人签字（不得使用印章、签名章或其他电子制版签名代替）和加盖单位公章。有改动之处应加盖单位公章或由法定代表人或其授权代理人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3.5.4</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参选文件份数</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纸质版：正本一份，副本四份，即一正四副，共五份；</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电子版：U盘一份（带鲜章的PDF扫描件）。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3.5.5</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装订要求</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采用左侧胶装方式装订，装订应牢固、不易拆散和换页，不得采用活页装订。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3.5.6</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参选文件的密封</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正本与副本应分开包装，加贴封条，并在封套的封口处加盖参选单位公章。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3.5.6（2）</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封套上写明</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建设单位地址：</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建设单位名称：</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 xml:space="preserve">          （项目名称）        参选文件</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在     年    月    日     时     分前不得开启</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参选单位名称：</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参选单位地址：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4.1.1</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递交参选文件截止时间及地点</w:t>
            </w:r>
          </w:p>
        </w:tc>
        <w:tc>
          <w:tcPr>
            <w:tcW w:w="6265" w:type="dxa"/>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截止时间：2024年6月3日</w:t>
            </w:r>
            <w:r>
              <w:rPr>
                <w:rFonts w:hint="eastAsia" w:ascii="宋体" w:hAnsi="宋体" w:cs="宋体"/>
                <w:bCs/>
                <w:szCs w:val="21"/>
                <w:highlight w:val="none"/>
              </w:rPr>
              <w:t>9</w:t>
            </w:r>
            <w:r>
              <w:rPr>
                <w:rFonts w:hint="eastAsia" w:ascii="宋体" w:hAnsi="宋体" w:cs="宋体"/>
                <w:bCs/>
                <w:szCs w:val="21"/>
                <w:highlight w:val="none"/>
                <w:lang w:val="zh-CN"/>
              </w:rPr>
              <w:t>时</w:t>
            </w:r>
            <w:r>
              <w:rPr>
                <w:rFonts w:hint="eastAsia" w:ascii="宋体" w:hAnsi="宋体" w:cs="宋体"/>
                <w:bCs/>
                <w:szCs w:val="21"/>
                <w:highlight w:val="none"/>
              </w:rPr>
              <w:t>30</w:t>
            </w:r>
            <w:r>
              <w:rPr>
                <w:rFonts w:hint="eastAsia" w:ascii="宋体" w:hAnsi="宋体" w:cs="宋体"/>
                <w:bCs/>
                <w:szCs w:val="21"/>
                <w:highlight w:val="none"/>
                <w:lang w:val="zh-CN"/>
              </w:rPr>
              <w:t>分</w:t>
            </w:r>
          </w:p>
          <w:p>
            <w:pPr>
              <w:tabs>
                <w:tab w:val="left" w:pos="426"/>
                <w:tab w:val="left" w:pos="540"/>
              </w:tabs>
              <w:rPr>
                <w:rFonts w:ascii="宋体" w:hAnsi="宋体" w:cs="宋体"/>
                <w:bCs/>
                <w:szCs w:val="21"/>
                <w:highlight w:val="none"/>
              </w:rPr>
            </w:pPr>
            <w:r>
              <w:rPr>
                <w:rFonts w:hint="eastAsia" w:ascii="宋体" w:hAnsi="宋体" w:cs="宋体"/>
                <w:bCs/>
                <w:szCs w:val="21"/>
                <w:highlight w:val="none"/>
                <w:lang w:val="zh-CN"/>
              </w:rPr>
              <w:t>递交地点：</w:t>
            </w:r>
            <w:r>
              <w:rPr>
                <w:rFonts w:hint="eastAsia" w:ascii="宋体" w:hAnsi="宋体" w:cs="宋体"/>
                <w:szCs w:val="21"/>
                <w:highlight w:val="none"/>
              </w:rPr>
              <w:t>吉利招公共资源标准化交易中心</w:t>
            </w:r>
            <w:r>
              <w:rPr>
                <w:rFonts w:hint="eastAsia" w:ascii="宋体" w:hAnsi="宋体" w:cs="宋体"/>
                <w:szCs w:val="21"/>
                <w:highlight w:val="none"/>
                <w:lang w:eastAsia="zh-CN"/>
              </w:rPr>
              <w:t>第一开标室</w:t>
            </w:r>
            <w:r>
              <w:rPr>
                <w:rFonts w:hint="eastAsia" w:ascii="宋体" w:hAnsi="宋体" w:cs="宋体"/>
                <w:szCs w:val="21"/>
                <w:highlight w:val="none"/>
              </w:rPr>
              <w:t>（长春市高新区鸿达街248号吉林日报副楼4楼）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4.1.3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是否退还参选文件</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■否</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4.3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会议</w:t>
            </w:r>
            <w:r>
              <w:rPr>
                <w:rFonts w:hint="eastAsia" w:ascii="宋体" w:hAnsi="宋体" w:cs="宋体"/>
                <w:bCs/>
                <w:szCs w:val="21"/>
                <w:highlight w:val="none"/>
                <w:lang w:val="zh-CN"/>
              </w:rPr>
              <w:t>程序</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（l）宣布会议纪律；</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（2）公布在比选截止时间前递交参选文件的参选单位名称，并点名确认人员是否到场；</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（3）宣布有关人员；</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（4）按照比选须知前附表规定检查参选文件的密封情况；</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（5）按照比选须知前附表的规定确定并宣布参选文件开启顺序；</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（6）按照宣布的顺序当众开启文件，公布参选单位名称、报价、质量标准、工期及其他内容，并记录在案；</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（7）有关人员在比价记录上签字确认；</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（8）比选结束。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74" w:type="dxa"/>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5.1.1</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评标委员会的组建</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评标委员会构成：5人，由有关技术、经济等方面的专家5人组成；</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评标专家确定方式：从吉林省评标专家库中随机抽取。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74"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5.1.3</w:t>
            </w:r>
          </w:p>
        </w:tc>
        <w:tc>
          <w:tcPr>
            <w:tcW w:w="2129" w:type="dxa"/>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是否授权评标委员会确定中标人</w:t>
            </w:r>
          </w:p>
        </w:tc>
        <w:tc>
          <w:tcPr>
            <w:tcW w:w="6265" w:type="dxa"/>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□是</w:t>
            </w:r>
          </w:p>
          <w:p>
            <w:pPr>
              <w:tabs>
                <w:tab w:val="left" w:pos="426"/>
                <w:tab w:val="left" w:pos="540"/>
              </w:tabs>
              <w:rPr>
                <w:rFonts w:ascii="宋体" w:hAnsi="宋体" w:cs="宋体"/>
                <w:bCs/>
                <w:szCs w:val="21"/>
                <w:highlight w:val="none"/>
              </w:rPr>
            </w:pPr>
            <w:r>
              <w:rPr>
                <w:rFonts w:hint="eastAsia" w:ascii="宋体" w:hAnsi="宋体" w:cs="宋体"/>
                <w:bCs/>
                <w:szCs w:val="21"/>
                <w:highlight w:val="none"/>
              </w:rPr>
              <w:t>■否，推荐的中选候选人数：3名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68" w:type="dxa"/>
            <w:gridSpan w:val="3"/>
            <w:tcBorders>
              <w:top w:val="nil"/>
              <w:bottom w:val="single" w:color="auto" w:sz="4" w:space="0"/>
            </w:tcBorders>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6</w:t>
            </w:r>
            <w:r>
              <w:rPr>
                <w:rFonts w:hint="eastAsia" w:ascii="宋体" w:hAnsi="宋体" w:cs="宋体"/>
                <w:bCs/>
                <w:szCs w:val="21"/>
                <w:highlight w:val="none"/>
                <w:lang w:val="zh-CN"/>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68" w:type="dxa"/>
            <w:gridSpan w:val="3"/>
            <w:tcBorders>
              <w:top w:val="single" w:color="auto" w:sz="4" w:space="0"/>
              <w:bottom w:val="single" w:color="auto" w:sz="4" w:space="0"/>
            </w:tcBorders>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6</w:t>
            </w:r>
            <w:r>
              <w:rPr>
                <w:rFonts w:hint="eastAsia" w:ascii="宋体" w:hAnsi="宋体" w:cs="宋体"/>
                <w:bCs/>
                <w:szCs w:val="21"/>
                <w:highlight w:val="none"/>
                <w:lang w:val="zh-CN"/>
              </w:rPr>
              <w:t>.1 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tcBorders>
              <w:top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6</w:t>
            </w:r>
            <w:r>
              <w:rPr>
                <w:rFonts w:hint="eastAsia" w:ascii="宋体" w:hAnsi="宋体" w:cs="宋体"/>
                <w:bCs/>
                <w:szCs w:val="21"/>
                <w:highlight w:val="none"/>
                <w:lang w:val="zh-CN"/>
              </w:rPr>
              <w:t>.1.1</w:t>
            </w:r>
          </w:p>
        </w:tc>
        <w:tc>
          <w:tcPr>
            <w:tcW w:w="2129"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类似项目</w:t>
            </w:r>
          </w:p>
        </w:tc>
        <w:tc>
          <w:tcPr>
            <w:tcW w:w="6265" w:type="dxa"/>
            <w:tcBorders>
              <w:top w:val="single" w:color="auto" w:sz="4" w:space="0"/>
              <w:left w:val="single" w:color="auto" w:sz="4" w:space="0"/>
              <w:bottom w:val="single" w:color="auto" w:sz="4" w:space="0"/>
            </w:tcBorders>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类似项目是指：与本比选项目相近的项目。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074" w:type="dxa"/>
            <w:tcBorders>
              <w:top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6</w:t>
            </w:r>
            <w:r>
              <w:rPr>
                <w:rFonts w:hint="eastAsia" w:ascii="宋体" w:hAnsi="宋体" w:cs="宋体"/>
                <w:bCs/>
                <w:szCs w:val="21"/>
                <w:highlight w:val="none"/>
                <w:lang w:val="zh-CN"/>
              </w:rPr>
              <w:t>.1.2</w:t>
            </w:r>
          </w:p>
        </w:tc>
        <w:tc>
          <w:tcPr>
            <w:tcW w:w="2129"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lang w:val="zh-CN"/>
              </w:rPr>
              <w:t>不良行为记录</w:t>
            </w:r>
          </w:p>
        </w:tc>
        <w:tc>
          <w:tcPr>
            <w:tcW w:w="6265" w:type="dxa"/>
            <w:tcBorders>
              <w:top w:val="single" w:color="auto" w:sz="4" w:space="0"/>
              <w:left w:val="single" w:color="auto" w:sz="4" w:space="0"/>
              <w:bottom w:val="single" w:color="auto" w:sz="4" w:space="0"/>
            </w:tcBorders>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不良行为记录是指：主要是近三年参选单位在工程建设过程中因违反有关工程建设的法律、法规、规章或强制性标准和执业行为规范，经县级以上建设行政主管部门或其委托的执法监督机构查实和行政处罚，形成的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68" w:type="dxa"/>
            <w:gridSpan w:val="3"/>
            <w:tcBorders>
              <w:top w:val="single" w:color="auto" w:sz="4" w:space="0"/>
              <w:bottom w:val="single" w:color="auto" w:sz="4" w:space="0"/>
            </w:tcBorders>
            <w:vAlign w:val="center"/>
          </w:tcPr>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6</w:t>
            </w:r>
            <w:r>
              <w:rPr>
                <w:rFonts w:hint="eastAsia" w:ascii="宋体" w:hAnsi="宋体" w:cs="宋体"/>
                <w:bCs/>
                <w:szCs w:val="21"/>
                <w:highlight w:val="none"/>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074" w:type="dxa"/>
            <w:tcBorders>
              <w:top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6.2.1</w:t>
            </w:r>
          </w:p>
        </w:tc>
        <w:tc>
          <w:tcPr>
            <w:tcW w:w="2129"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lang w:val="zh-CN"/>
              </w:rPr>
            </w:pPr>
            <w:r>
              <w:rPr>
                <w:rFonts w:hint="eastAsia" w:ascii="宋体" w:hAnsi="宋体" w:cs="宋体"/>
                <w:bCs/>
                <w:szCs w:val="21"/>
                <w:highlight w:val="none"/>
              </w:rPr>
              <w:t>最高</w:t>
            </w:r>
            <w:r>
              <w:rPr>
                <w:rFonts w:hint="eastAsia" w:ascii="宋体" w:hAnsi="宋体" w:cs="宋体"/>
                <w:bCs/>
                <w:szCs w:val="21"/>
                <w:highlight w:val="none"/>
                <w:lang w:val="zh-CN"/>
              </w:rPr>
              <w:t>控制价</w:t>
            </w:r>
          </w:p>
        </w:tc>
        <w:tc>
          <w:tcPr>
            <w:tcW w:w="6265" w:type="dxa"/>
            <w:tcBorders>
              <w:top w:val="single" w:color="auto" w:sz="4" w:space="0"/>
              <w:left w:val="single" w:color="auto" w:sz="4" w:space="0"/>
              <w:bottom w:val="single" w:color="auto" w:sz="4" w:space="0"/>
            </w:tcBorders>
            <w:vAlign w:val="center"/>
          </w:tcPr>
          <w:p>
            <w:pPr>
              <w:tabs>
                <w:tab w:val="left" w:pos="426"/>
                <w:tab w:val="left" w:pos="540"/>
              </w:tabs>
              <w:rPr>
                <w:rFonts w:ascii="宋体" w:hAnsi="宋体" w:cs="宋体"/>
                <w:bCs/>
                <w:szCs w:val="21"/>
                <w:highlight w:val="none"/>
              </w:rPr>
            </w:pPr>
            <w:r>
              <w:rPr>
                <w:rFonts w:hint="eastAsia" w:ascii="宋体" w:hAnsi="宋体" w:cs="宋体"/>
                <w:bCs/>
                <w:szCs w:val="21"/>
                <w:highlight w:val="none"/>
              </w:rPr>
              <w:t>□不设最高控制价</w:t>
            </w:r>
          </w:p>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rPr>
              <w:t>■设最高控制</w:t>
            </w:r>
            <w:r>
              <w:rPr>
                <w:rFonts w:hint="eastAsia" w:ascii="宋体" w:hAnsi="宋体" w:cs="宋体"/>
                <w:bCs/>
                <w:szCs w:val="21"/>
                <w:highlight w:val="none"/>
                <w:lang w:val="zh-CN"/>
              </w:rPr>
              <w:t>价</w:t>
            </w:r>
            <w:r>
              <w:rPr>
                <w:rFonts w:hint="eastAsia" w:ascii="宋体" w:hAnsi="宋体" w:cs="宋体"/>
                <w:bCs/>
                <w:szCs w:val="21"/>
                <w:highlight w:val="none"/>
              </w:rPr>
              <w:t>986860</w:t>
            </w:r>
            <w:r>
              <w:rPr>
                <w:rFonts w:hint="eastAsia" w:ascii="宋体" w:hAnsi="宋体" w:cs="宋体"/>
                <w:bCs/>
                <w:szCs w:val="21"/>
                <w:highlight w:val="none"/>
                <w:lang w:val="zh-CN"/>
              </w:rPr>
              <w:t>元</w:t>
            </w:r>
          </w:p>
          <w:p>
            <w:pPr>
              <w:tabs>
                <w:tab w:val="left" w:pos="426"/>
                <w:tab w:val="left" w:pos="540"/>
              </w:tabs>
              <w:rPr>
                <w:rFonts w:ascii="宋体" w:hAnsi="宋体" w:cs="宋体"/>
                <w:bCs/>
                <w:szCs w:val="21"/>
                <w:highlight w:val="none"/>
                <w:lang w:val="zh-CN"/>
              </w:rPr>
            </w:pPr>
            <w:r>
              <w:rPr>
                <w:rFonts w:hint="eastAsia" w:ascii="宋体" w:hAnsi="宋体" w:cs="宋体"/>
                <w:bCs/>
                <w:szCs w:val="21"/>
                <w:highlight w:val="none"/>
                <w:lang w:val="zh-CN"/>
              </w:rPr>
              <w:t>注：报价不得高于</w:t>
            </w:r>
            <w:r>
              <w:rPr>
                <w:rFonts w:hint="eastAsia" w:ascii="宋体" w:hAnsi="宋体" w:cs="宋体"/>
                <w:bCs/>
                <w:szCs w:val="21"/>
                <w:highlight w:val="none"/>
              </w:rPr>
              <w:t>最高控制价同时不得低于成本价，否则按作废处理。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74" w:type="dxa"/>
            <w:tcBorders>
              <w:top w:val="single" w:color="auto" w:sz="4" w:space="0"/>
              <w:bottom w:val="single" w:color="auto" w:sz="4" w:space="0"/>
              <w:right w:val="single" w:color="auto" w:sz="4" w:space="0"/>
            </w:tcBorders>
            <w:vAlign w:val="center"/>
          </w:tcPr>
          <w:p>
            <w:pPr>
              <w:tabs>
                <w:tab w:val="left" w:pos="426"/>
                <w:tab w:val="left" w:pos="540"/>
              </w:tabs>
              <w:jc w:val="center"/>
              <w:rPr>
                <w:rFonts w:ascii="宋体" w:hAnsi="宋体" w:cs="宋体"/>
                <w:bCs/>
                <w:szCs w:val="21"/>
                <w:highlight w:val="none"/>
              </w:rPr>
            </w:pPr>
            <w:r>
              <w:rPr>
                <w:rFonts w:hint="eastAsia" w:ascii="宋体" w:hAnsi="宋体" w:cs="宋体"/>
                <w:bCs/>
                <w:szCs w:val="21"/>
                <w:highlight w:val="none"/>
              </w:rPr>
              <w:t>6.2.2</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szCs w:val="21"/>
                <w:highlight w:val="none"/>
              </w:rPr>
              <w:t>比选代理服务费</w:t>
            </w:r>
          </w:p>
        </w:tc>
        <w:tc>
          <w:tcPr>
            <w:tcW w:w="6265" w:type="dxa"/>
            <w:tcBorders>
              <w:top w:val="single" w:color="auto" w:sz="4" w:space="0"/>
              <w:left w:val="single" w:color="auto" w:sz="4" w:space="0"/>
              <w:bottom w:val="single" w:color="auto" w:sz="4" w:space="0"/>
            </w:tcBorders>
            <w:vAlign w:val="center"/>
          </w:tcPr>
          <w:p>
            <w:pPr>
              <w:rPr>
                <w:rFonts w:ascii="宋体" w:hAnsi="宋体" w:cs="宋体"/>
                <w:bCs/>
                <w:szCs w:val="21"/>
                <w:highlight w:val="none"/>
                <w:lang w:val="zh-CN"/>
              </w:rPr>
            </w:pPr>
            <w:r>
              <w:rPr>
                <w:rFonts w:hint="eastAsia" w:ascii="宋体" w:hAnsi="宋体" w:cs="宋体"/>
                <w:szCs w:val="21"/>
                <w:highlight w:val="none"/>
              </w:rPr>
              <w:t>比选代理服务费由中选单位交纳，参照《国家发展改革委关于进一步放开建设项目专业服务价格的通知》（发改办价格【2015】299号）的规定。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68" w:type="dxa"/>
            <w:gridSpan w:val="3"/>
            <w:tcBorders>
              <w:top w:val="single" w:color="auto" w:sz="4" w:space="0"/>
            </w:tcBorders>
            <w:vAlign w:val="center"/>
          </w:tcPr>
          <w:p>
            <w:pPr>
              <w:jc w:val="center"/>
              <w:rPr>
                <w:rFonts w:ascii="宋体" w:hAnsi="宋体" w:cs="宋体"/>
                <w:b/>
                <w:szCs w:val="21"/>
                <w:highlight w:val="none"/>
              </w:rPr>
            </w:pPr>
            <w:r>
              <w:rPr>
                <w:rFonts w:hint="eastAsia" w:ascii="宋体" w:hAnsi="宋体" w:cs="宋体"/>
                <w:b/>
                <w:szCs w:val="21"/>
                <w:highlight w:val="none"/>
              </w:rPr>
              <w:t>注：若比选公告内容与比选文件比选须知等内容有不一致之处，以比选文件及比选须知等内容为准。</w:t>
            </w:r>
          </w:p>
        </w:tc>
      </w:tr>
    </w:tbl>
    <w:p>
      <w:pPr>
        <w:pStyle w:val="5"/>
        <w:spacing w:line="276" w:lineRule="auto"/>
        <w:rPr>
          <w:rFonts w:ascii="宋体" w:hAnsi="宋体" w:cs="宋体"/>
          <w:highlight w:val="none"/>
        </w:rPr>
      </w:pPr>
      <w:r>
        <w:rPr>
          <w:rFonts w:hint="eastAsia" w:ascii="宋体" w:hAnsi="宋体" w:cs="宋体"/>
          <w:sz w:val="24"/>
          <w:highlight w:val="none"/>
        </w:rPr>
        <w:br w:type="page"/>
      </w:r>
      <w:r>
        <w:rPr>
          <w:rFonts w:hint="eastAsia" w:ascii="宋体" w:hAnsi="宋体" w:cs="宋体"/>
          <w:highlight w:val="none"/>
        </w:rPr>
        <w:t>1.项目概况</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1.1 根据有关法律、法规和规章的规定，本项目已具备比选条件，现对本项目进行比选。</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1.2 项目建设单位：见比选须知前附表。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1.3 项目代理机构：见比选须知前附表。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1.4 项目名称：见比选须知前附表。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1.5 项目建设地点：见比选须知前附表。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1.6本项目的资金落实情况：见比选须知前附表。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1.7本项目</w:t>
      </w:r>
      <w:r>
        <w:rPr>
          <w:rFonts w:hint="eastAsia" w:ascii="宋体" w:hAnsi="宋体" w:cs="宋体"/>
          <w:bCs/>
          <w:szCs w:val="21"/>
          <w:highlight w:val="none"/>
          <w:lang w:val="zh-CN"/>
        </w:rPr>
        <w:t>规模及内容</w:t>
      </w:r>
      <w:r>
        <w:rPr>
          <w:rFonts w:hint="eastAsia" w:ascii="宋体" w:hAnsi="宋体" w:cs="宋体"/>
          <w:szCs w:val="21"/>
          <w:highlight w:val="none"/>
        </w:rPr>
        <w:t>：见比选须知前附表。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1.8本项目的服务期限：见比选须知前附表。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1.9本项目的质量标准：见比选须知前附表。</w:t>
      </w:r>
    </w:p>
    <w:p>
      <w:pPr>
        <w:pStyle w:val="5"/>
        <w:spacing w:line="276" w:lineRule="auto"/>
        <w:rPr>
          <w:rFonts w:ascii="宋体" w:hAnsi="宋体" w:cs="宋体"/>
          <w:highlight w:val="none"/>
        </w:rPr>
      </w:pPr>
      <w:r>
        <w:rPr>
          <w:rFonts w:hint="eastAsia" w:ascii="宋体" w:hAnsi="宋体" w:cs="宋体"/>
          <w:highlight w:val="none"/>
        </w:rPr>
        <w:t>2.参选单位资格要求</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2.1参选单位应具备承担本项目施工的资质条件、能力和信誉。</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（l）资质条件：见比选须知前附表；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（2）财务要求：见比选须知前附表；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（3）业绩要求：见比选须知前附表；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（4）信誉要求：见比选须知前附表；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（5）人员要求：见比选须知前附表；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（6）其他要求：见比选须知前附表。</w:t>
      </w:r>
    </w:p>
    <w:p>
      <w:pPr>
        <w:pStyle w:val="5"/>
        <w:spacing w:line="276" w:lineRule="auto"/>
        <w:rPr>
          <w:rFonts w:ascii="宋体" w:hAnsi="宋体" w:cs="宋体"/>
          <w:highlight w:val="none"/>
        </w:rPr>
      </w:pPr>
      <w:r>
        <w:rPr>
          <w:rFonts w:hint="eastAsia" w:ascii="宋体" w:hAnsi="宋体" w:cs="宋体"/>
          <w:highlight w:val="none"/>
        </w:rPr>
        <w:t>2.2比选文件的组成</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比选文件包括：</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（1）比选公告； </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（2）比选须知；</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（3）评审办法；</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（4）报价清单；</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（5）合同条款及格式；</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（6）技术标准和要求；</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（7）参选文件格式；</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（8）比选须知前附表规定的其他材料。</w:t>
      </w:r>
    </w:p>
    <w:p>
      <w:pPr>
        <w:pStyle w:val="4"/>
        <w:spacing w:line="276" w:lineRule="auto"/>
        <w:rPr>
          <w:rFonts w:ascii="宋体" w:hAnsi="宋体" w:cs="宋体"/>
          <w:highlight w:val="none"/>
        </w:rPr>
      </w:pPr>
      <w:bookmarkStart w:id="50" w:name="_Toc6963"/>
      <w:r>
        <w:rPr>
          <w:rFonts w:hint="eastAsia" w:ascii="宋体" w:hAnsi="宋体" w:cs="宋体"/>
          <w:highlight w:val="none"/>
        </w:rPr>
        <w:t>3．参选文件</w:t>
      </w:r>
      <w:bookmarkEnd w:id="50"/>
    </w:p>
    <w:p>
      <w:pPr>
        <w:pStyle w:val="5"/>
        <w:spacing w:line="276" w:lineRule="auto"/>
        <w:rPr>
          <w:rFonts w:ascii="宋体" w:hAnsi="宋体" w:cs="宋体"/>
          <w:highlight w:val="none"/>
        </w:rPr>
      </w:pPr>
      <w:r>
        <w:rPr>
          <w:rFonts w:hint="eastAsia" w:ascii="宋体" w:hAnsi="宋体" w:cs="宋体"/>
          <w:highlight w:val="none"/>
        </w:rPr>
        <w:t>3.1 参选文件的组成</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 xml:space="preserve">3.1.1 </w:t>
      </w:r>
      <w:r>
        <w:rPr>
          <w:rFonts w:hint="eastAsia" w:ascii="宋体" w:hAnsi="宋体" w:cs="宋体"/>
          <w:highlight w:val="none"/>
        </w:rPr>
        <w:t>参选</w:t>
      </w:r>
      <w:r>
        <w:rPr>
          <w:rFonts w:hint="eastAsia" w:ascii="宋体" w:hAnsi="宋体" w:cs="宋体"/>
          <w:szCs w:val="21"/>
          <w:highlight w:val="none"/>
        </w:rPr>
        <w:t>文件应包括下列内容：</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）报价函；</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）法定代表人身份证明（适用于无委托代理人的情况）；</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）授权委托书（适用于有委托代理人的情况）；</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）比选保证金；</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4</w:t>
      </w:r>
      <w:r>
        <w:rPr>
          <w:rFonts w:hint="eastAsia" w:ascii="宋体" w:hAnsi="宋体" w:cs="宋体"/>
          <w:color w:val="000000"/>
          <w:szCs w:val="21"/>
          <w:highlight w:val="none"/>
        </w:rPr>
        <w:t>）已填写的报价清单；</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）实施方案；</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6</w:t>
      </w:r>
      <w:r>
        <w:rPr>
          <w:rFonts w:hint="eastAsia" w:ascii="宋体" w:hAnsi="宋体" w:cs="宋体"/>
          <w:color w:val="000000"/>
          <w:szCs w:val="21"/>
          <w:highlight w:val="none"/>
        </w:rPr>
        <w:t>）项目管理机构表；</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7</w:t>
      </w:r>
      <w:r>
        <w:rPr>
          <w:rFonts w:hint="eastAsia" w:ascii="宋体" w:hAnsi="宋体" w:cs="宋体"/>
          <w:color w:val="000000"/>
          <w:szCs w:val="21"/>
          <w:highlight w:val="none"/>
        </w:rPr>
        <w:t>）资格审查资料；</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8</w:t>
      </w:r>
      <w:r>
        <w:rPr>
          <w:rFonts w:hint="eastAsia" w:ascii="宋体" w:hAnsi="宋体" w:cs="宋体"/>
          <w:color w:val="000000"/>
          <w:szCs w:val="21"/>
          <w:highlight w:val="none"/>
        </w:rPr>
        <w:t>）近年完成或正在开展的类似项目情况表；</w:t>
      </w:r>
    </w:p>
    <w:p>
      <w:pPr>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（9）其他材料（如有）。</w:t>
      </w:r>
    </w:p>
    <w:p>
      <w:pPr>
        <w:pStyle w:val="5"/>
        <w:spacing w:line="276" w:lineRule="auto"/>
        <w:rPr>
          <w:rFonts w:ascii="宋体" w:hAnsi="宋体" w:cs="宋体"/>
          <w:highlight w:val="none"/>
        </w:rPr>
      </w:pPr>
      <w:r>
        <w:rPr>
          <w:rFonts w:ascii="宋体" w:hAnsi="宋体" w:cs="宋体"/>
          <w:highlight w:val="none"/>
        </w:rPr>
        <w:t>3.2</w:t>
      </w:r>
      <w:r>
        <w:rPr>
          <w:rFonts w:hint="eastAsia" w:ascii="宋体" w:hAnsi="宋体" w:cs="宋体"/>
          <w:highlight w:val="none"/>
        </w:rPr>
        <w:t xml:space="preserve"> 报价</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3.2.1 参选单位应按第</w:t>
      </w:r>
      <w:r>
        <w:rPr>
          <w:rFonts w:ascii="宋体" w:hAnsi="宋体" w:cs="宋体"/>
          <w:szCs w:val="21"/>
          <w:highlight w:val="none"/>
        </w:rPr>
        <w:t>4</w:t>
      </w:r>
      <w:r>
        <w:rPr>
          <w:rFonts w:hint="eastAsia" w:ascii="宋体" w:hAnsi="宋体" w:cs="宋体"/>
          <w:szCs w:val="21"/>
          <w:highlight w:val="none"/>
        </w:rPr>
        <w:t>章“报价清单”的要求填写相应表格。</w:t>
      </w:r>
    </w:p>
    <w:p>
      <w:pPr>
        <w:spacing w:line="276" w:lineRule="auto"/>
        <w:ind w:firstLine="420" w:firstLineChars="200"/>
        <w:rPr>
          <w:rFonts w:ascii="宋体" w:hAnsi="宋体" w:cs="宋体"/>
          <w:szCs w:val="21"/>
          <w:highlight w:val="none"/>
        </w:rPr>
      </w:pPr>
      <w:r>
        <w:rPr>
          <w:rFonts w:ascii="宋体" w:hAnsi="宋体" w:cs="宋体"/>
          <w:szCs w:val="21"/>
          <w:highlight w:val="none"/>
        </w:rPr>
        <w:t xml:space="preserve">3.2.3 </w:t>
      </w:r>
      <w:r>
        <w:rPr>
          <w:rFonts w:hint="eastAsia" w:ascii="宋体" w:hAnsi="宋体" w:cs="宋体"/>
          <w:szCs w:val="21"/>
          <w:highlight w:val="none"/>
        </w:rPr>
        <w:t>参选单位报价不得超出采购人公布的最高限价或采购预算。</w:t>
      </w:r>
    </w:p>
    <w:p>
      <w:pPr>
        <w:spacing w:line="276" w:lineRule="auto"/>
        <w:ind w:firstLine="420" w:firstLineChars="200"/>
        <w:rPr>
          <w:rFonts w:ascii="宋体" w:hAnsi="宋体" w:cs="宋体"/>
          <w:szCs w:val="21"/>
          <w:highlight w:val="none"/>
        </w:rPr>
      </w:pPr>
      <w:r>
        <w:rPr>
          <w:rFonts w:ascii="宋体" w:hAnsi="宋体" w:cs="宋体"/>
          <w:szCs w:val="21"/>
          <w:highlight w:val="none"/>
        </w:rPr>
        <w:t xml:space="preserve">3.2.4 </w:t>
      </w:r>
      <w:r>
        <w:rPr>
          <w:rFonts w:hint="eastAsia" w:ascii="宋体" w:hAnsi="宋体" w:cs="宋体"/>
          <w:szCs w:val="21"/>
          <w:highlight w:val="none"/>
        </w:rPr>
        <w:t>本项目涉及所有资金往来的币种为人民币。</w:t>
      </w:r>
    </w:p>
    <w:p>
      <w:pPr>
        <w:pStyle w:val="5"/>
        <w:spacing w:line="276" w:lineRule="auto"/>
        <w:rPr>
          <w:rFonts w:ascii="宋体" w:hAnsi="宋体" w:cs="宋体"/>
          <w:highlight w:val="none"/>
        </w:rPr>
      </w:pPr>
      <w:r>
        <w:rPr>
          <w:rFonts w:hint="eastAsia" w:ascii="宋体" w:hAnsi="宋体" w:cs="宋体"/>
          <w:highlight w:val="none"/>
        </w:rPr>
        <w:t>3.3 比选有效期</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3.3.1 在比选须知前附表规定的</w:t>
      </w:r>
      <w:r>
        <w:rPr>
          <w:rFonts w:hint="eastAsia" w:ascii="宋体" w:hAnsi="宋体" w:cs="宋体"/>
          <w:highlight w:val="none"/>
        </w:rPr>
        <w:t>比选</w:t>
      </w:r>
      <w:r>
        <w:rPr>
          <w:rFonts w:hint="eastAsia" w:ascii="宋体" w:hAnsi="宋体" w:cs="宋体"/>
          <w:szCs w:val="21"/>
          <w:highlight w:val="none"/>
        </w:rPr>
        <w:t>有效期内，参选单位不得要求撤销或修改其参选文件。</w:t>
      </w:r>
    </w:p>
    <w:p>
      <w:pPr>
        <w:pStyle w:val="5"/>
        <w:spacing w:line="276" w:lineRule="auto"/>
        <w:rPr>
          <w:rFonts w:ascii="宋体" w:hAnsi="宋体" w:cs="宋体"/>
          <w:highlight w:val="none"/>
        </w:rPr>
      </w:pPr>
      <w:r>
        <w:rPr>
          <w:rFonts w:hint="eastAsia" w:ascii="宋体" w:hAnsi="宋体" w:cs="宋体"/>
          <w:highlight w:val="none"/>
        </w:rPr>
        <w:t>3.4资格审查资料</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3.4.1 “单位基本情况表”应附参选单位法人证书或营业执照副本及其年检合格的证明材料、项目负责人等材料的复印件。</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3.4.2 “近年财务状况表”应附经会计师事务所或审计机构审计的财务会计报表，包括资产负债表、现金流量表、利润表和财务情况说明书的复印件，具体年份要求见比选须知前附表。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3.4.3 “近年完成的类似项目情况表”应附中标通知书或合同协议书，具体年份要求见比选须知前附表。每张表格只填写一个项目，并标明序号。</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3.4.4 “近年发生的诉讼及仲裁情况”应说明相关情况，并附法院或仲裁机构作出的判决、裁决等有关法律文书，具体年份要求见比选须知前附表。</w:t>
      </w:r>
    </w:p>
    <w:p>
      <w:pPr>
        <w:pStyle w:val="5"/>
        <w:spacing w:line="276" w:lineRule="auto"/>
        <w:rPr>
          <w:rFonts w:ascii="宋体" w:hAnsi="宋体" w:cs="宋体"/>
          <w:highlight w:val="none"/>
        </w:rPr>
      </w:pPr>
      <w:r>
        <w:rPr>
          <w:rFonts w:hint="eastAsia" w:ascii="宋体" w:hAnsi="宋体" w:cs="宋体"/>
          <w:highlight w:val="none"/>
        </w:rPr>
        <w:t xml:space="preserve">3.5 </w:t>
      </w:r>
      <w:r>
        <w:rPr>
          <w:rFonts w:hint="eastAsia" w:ascii="宋体" w:hAnsi="宋体" w:cs="宋体"/>
          <w:szCs w:val="21"/>
          <w:highlight w:val="none"/>
        </w:rPr>
        <w:t>参选</w:t>
      </w:r>
      <w:r>
        <w:rPr>
          <w:rFonts w:hint="eastAsia" w:ascii="宋体" w:hAnsi="宋体" w:cs="宋体"/>
          <w:highlight w:val="none"/>
        </w:rPr>
        <w:t>文件的编制</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3.5.1 参选文件应按“参选文件格式”进行编写，如有必要，可以增加附页，作为参选文件的组成部分。</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3.5.2 参选文件应当对比选文件有关服务期、响应文件有效期、质量标准、技术文件、采购范围等实质性内容作出响应。</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3.5.3 参选文件应用不褪色的材料书写或打印，并由参选单位的法定代表人或其委托代理人签字或盖单位章。委托代理人签字的，应附法定代表人签署的授权委托书。参选文件应尽量避免涂改、行间插字或删除。如果出现上述情况，改动之处应加盖单位章或由参选单位的法定代表人或其授权的代理人签字确认。签字或盖章的具体要求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3.5.4 参选文件正本一份，副本份数见比选须知前附表。正本和副本的封面上应清楚地标记“正本”或“副本”的字样。当副本和正本不一致时，以正本为准。</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3.5.5 参选文件的正本与副本应分别装订成册，并编制目录，具体装订要求见比选须知前附表规定。</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3.5.6参选文件的密封：正本与副本应分开包装，加贴封条，并在封套的封口处加盖参选单位公章，具体要求见比选须知前附表规定。</w:t>
      </w:r>
    </w:p>
    <w:p>
      <w:pPr>
        <w:pStyle w:val="4"/>
        <w:spacing w:line="276" w:lineRule="auto"/>
        <w:rPr>
          <w:rFonts w:ascii="宋体" w:hAnsi="宋体" w:cs="宋体"/>
          <w:highlight w:val="none"/>
        </w:rPr>
      </w:pPr>
      <w:bookmarkStart w:id="51" w:name="_Toc31915"/>
      <w:r>
        <w:rPr>
          <w:rFonts w:hint="eastAsia" w:ascii="宋体" w:hAnsi="宋体" w:cs="宋体"/>
          <w:highlight w:val="none"/>
        </w:rPr>
        <w:t>4．比选</w:t>
      </w:r>
      <w:bookmarkEnd w:id="51"/>
    </w:p>
    <w:p>
      <w:pPr>
        <w:pStyle w:val="5"/>
        <w:spacing w:line="276" w:lineRule="auto"/>
        <w:rPr>
          <w:rFonts w:ascii="宋体" w:hAnsi="宋体" w:cs="宋体"/>
          <w:highlight w:val="none"/>
        </w:rPr>
      </w:pPr>
      <w:r>
        <w:rPr>
          <w:rFonts w:hint="eastAsia" w:ascii="宋体" w:hAnsi="宋体" w:cs="宋体"/>
          <w:szCs w:val="21"/>
          <w:highlight w:val="none"/>
        </w:rPr>
        <w:t>4.1参选</w:t>
      </w:r>
      <w:r>
        <w:rPr>
          <w:rFonts w:hint="eastAsia" w:ascii="宋体" w:hAnsi="宋体" w:cs="宋体"/>
          <w:highlight w:val="none"/>
        </w:rPr>
        <w:t>文件的递交</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4.1.1 参选单位应在比选截止时间前递交参选文件。</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4.1.2 参选单位递交参选文件的地点：见比选须知前附表。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4.1.3 除比选须知前附表另有规定外，参选单位所递交的参选文件不予退还。</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4.1.4 逾期送达的或者未送达指定地点的参选文件，建设单位不予受理。</w:t>
      </w:r>
    </w:p>
    <w:p>
      <w:pPr>
        <w:pStyle w:val="5"/>
        <w:spacing w:line="276" w:lineRule="auto"/>
        <w:rPr>
          <w:rFonts w:ascii="宋体" w:hAnsi="宋体" w:cs="宋体"/>
          <w:highlight w:val="none"/>
        </w:rPr>
      </w:pPr>
      <w:r>
        <w:rPr>
          <w:rFonts w:hint="eastAsia" w:ascii="宋体" w:hAnsi="宋体" w:cs="宋体"/>
          <w:highlight w:val="none"/>
        </w:rPr>
        <w:t>4.2参选文件的修改与撤回</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4.2.1 在规定的截止时间前，参选单位可以修改或撤回已递交的参选文件。</w:t>
      </w:r>
    </w:p>
    <w:p>
      <w:pPr>
        <w:pStyle w:val="5"/>
        <w:spacing w:line="276" w:lineRule="auto"/>
        <w:rPr>
          <w:rFonts w:ascii="宋体" w:hAnsi="宋体" w:cs="宋体"/>
          <w:highlight w:val="none"/>
        </w:rPr>
      </w:pPr>
      <w:r>
        <w:rPr>
          <w:rFonts w:hint="eastAsia" w:ascii="宋体" w:hAnsi="宋体" w:cs="宋体"/>
          <w:highlight w:val="none"/>
        </w:rPr>
        <w:t>4.3 开会程序</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会议按下列程序进行：</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（l）宣布会议纪律；</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（2）公布在比选截止时间前递交参选文件的参选单位名称，并点名确认人员是否到场；</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（3）宣布有关人员；</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（4）按照比选须知前附表规定检查参选文件的密封情况；</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（5）按照比选须知前附表的规定确定并宣布参选文件开启顺序；</w:t>
      </w:r>
    </w:p>
    <w:p>
      <w:pPr>
        <w:spacing w:line="276" w:lineRule="auto"/>
        <w:ind w:firstLine="315" w:firstLineChars="150"/>
        <w:rPr>
          <w:rFonts w:ascii="宋体" w:hAnsi="宋体" w:cs="宋体"/>
          <w:szCs w:val="21"/>
          <w:highlight w:val="none"/>
        </w:rPr>
      </w:pPr>
      <w:r>
        <w:rPr>
          <w:rFonts w:hint="eastAsia" w:ascii="宋体" w:hAnsi="宋体" w:cs="宋体"/>
          <w:szCs w:val="21"/>
          <w:highlight w:val="none"/>
        </w:rPr>
        <w:t xml:space="preserve"> （6）按照宣布的顺序当众开启文件，公布参选单位名称、报价、质量标准、工期及其他内容，并记录在案；</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（7）有关人员在比价记录上签字确认；</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（8）比选结束。</w:t>
      </w:r>
    </w:p>
    <w:p>
      <w:pPr>
        <w:pStyle w:val="4"/>
        <w:spacing w:line="276" w:lineRule="auto"/>
        <w:rPr>
          <w:rFonts w:ascii="宋体" w:hAnsi="宋体" w:cs="宋体"/>
          <w:highlight w:val="none"/>
        </w:rPr>
      </w:pPr>
      <w:bookmarkStart w:id="52" w:name="_Toc22576"/>
      <w:r>
        <w:rPr>
          <w:rFonts w:hint="eastAsia" w:ascii="宋体" w:hAnsi="宋体" w:cs="宋体"/>
          <w:highlight w:val="none"/>
        </w:rPr>
        <w:t>5．评审</w:t>
      </w:r>
      <w:bookmarkEnd w:id="52"/>
    </w:p>
    <w:p>
      <w:pPr>
        <w:pStyle w:val="5"/>
        <w:spacing w:line="276" w:lineRule="auto"/>
        <w:rPr>
          <w:rFonts w:ascii="宋体" w:hAnsi="宋体" w:cs="宋体"/>
          <w:highlight w:val="none"/>
        </w:rPr>
      </w:pPr>
      <w:r>
        <w:rPr>
          <w:rFonts w:hint="eastAsia" w:ascii="宋体" w:hAnsi="宋体" w:cs="宋体"/>
          <w:highlight w:val="none"/>
        </w:rPr>
        <w:t>5.1 评审委员会</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5.1.1 评审工作由建设单位依法组建的评审委员会负责。评审委员会由建设单位或其委托的代理机构熟悉相关业务的代表，以及有关技术、经济等方面的专家组成。成员人数以及技术、经济等方面专家的确定方式见比选须知前附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5.1.2 评审委员会成员有下列情形之一的，应当回避：</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（1）建设单位或参选单位主要负责人的近亲属；</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（2）与参选单位有经济利益关系，可能影响对参选公正评审的；</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（3）曾因在比选活动、评审以及其他有关活动中从事违法行为而受过行政处罚或刑事处罚的。</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5.1.3评审委员会按照第三章“评标办法”规定的方法、评审因素、标准和程序对参选文件进行评审。第三章“评标办法”没有规定的方法、评审因素和标准，不作为评标依据。</w:t>
      </w:r>
    </w:p>
    <w:p>
      <w:pPr>
        <w:pStyle w:val="4"/>
        <w:spacing w:line="276" w:lineRule="auto"/>
        <w:rPr>
          <w:rFonts w:ascii="宋体" w:hAnsi="宋体" w:cs="宋体"/>
          <w:highlight w:val="none"/>
        </w:rPr>
      </w:pPr>
      <w:bookmarkStart w:id="53" w:name="_Toc2118"/>
      <w:r>
        <w:rPr>
          <w:rFonts w:hint="eastAsia" w:ascii="宋体" w:hAnsi="宋体" w:cs="宋体"/>
          <w:highlight w:val="none"/>
        </w:rPr>
        <w:t>6．需要补充的其他内容</w:t>
      </w:r>
      <w:bookmarkEnd w:id="53"/>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见比选须知前附表。</w:t>
      </w:r>
    </w:p>
    <w:p>
      <w:pPr>
        <w:pStyle w:val="4"/>
        <w:spacing w:line="276" w:lineRule="auto"/>
        <w:rPr>
          <w:rFonts w:ascii="宋体" w:hAnsi="宋体" w:cs="宋体"/>
          <w:highlight w:val="none"/>
        </w:rPr>
      </w:pPr>
    </w:p>
    <w:p>
      <w:pPr>
        <w:spacing w:line="276" w:lineRule="auto"/>
        <w:rPr>
          <w:rFonts w:ascii="宋体" w:hAnsi="宋体" w:cs="宋体"/>
          <w:szCs w:val="21"/>
          <w:highlight w:val="none"/>
        </w:rPr>
      </w:pPr>
    </w:p>
    <w:p>
      <w:pPr>
        <w:widowControl/>
        <w:spacing w:line="276" w:lineRule="auto"/>
        <w:jc w:val="left"/>
        <w:rPr>
          <w:rFonts w:ascii="宋体" w:hAnsi="宋体" w:cs="宋体"/>
          <w:szCs w:val="21"/>
          <w:highlight w:val="none"/>
        </w:rPr>
      </w:pPr>
    </w:p>
    <w:p>
      <w:pPr>
        <w:widowControl/>
        <w:jc w:val="left"/>
        <w:rPr>
          <w:rFonts w:ascii="宋体" w:hAnsi="宋体" w:cs="宋体"/>
          <w:szCs w:val="21"/>
          <w:highlight w:val="none"/>
        </w:rPr>
        <w:sectPr>
          <w:pgSz w:w="11906" w:h="16838"/>
          <w:pgMar w:top="1440" w:right="1080" w:bottom="1440" w:left="1080" w:header="851" w:footer="992" w:gutter="0"/>
          <w:cols w:space="720" w:num="1"/>
          <w:titlePg/>
          <w:docGrid w:type="linesAndChars" w:linePitch="312" w:charSpace="0"/>
        </w:sectPr>
      </w:pPr>
    </w:p>
    <w:p>
      <w:pPr>
        <w:spacing w:line="400" w:lineRule="exact"/>
        <w:ind w:firstLine="120" w:firstLineChars="50"/>
        <w:outlineLvl w:val="0"/>
        <w:rPr>
          <w:rFonts w:ascii="宋体" w:hAnsi="宋体" w:cs="宋体"/>
          <w:b/>
          <w:bCs/>
          <w:sz w:val="24"/>
          <w:highlight w:val="none"/>
        </w:rPr>
      </w:pPr>
      <w:bookmarkStart w:id="54" w:name="_Toc10435"/>
      <w:bookmarkStart w:id="55" w:name="_Toc165389658"/>
      <w:bookmarkStart w:id="56" w:name="_Toc165383701"/>
      <w:bookmarkStart w:id="57" w:name="_Toc165389709"/>
      <w:r>
        <w:rPr>
          <w:rFonts w:hint="eastAsia" w:ascii="宋体" w:hAnsi="宋体" w:cs="宋体"/>
          <w:b/>
          <w:bCs/>
          <w:sz w:val="24"/>
          <w:highlight w:val="none"/>
        </w:rPr>
        <w:t>附表一：比选报价表</w:t>
      </w:r>
      <w:bookmarkEnd w:id="54"/>
      <w:bookmarkEnd w:id="55"/>
      <w:bookmarkEnd w:id="56"/>
      <w:bookmarkEnd w:id="57"/>
    </w:p>
    <w:p>
      <w:pPr>
        <w:autoSpaceDE w:val="0"/>
        <w:autoSpaceDN w:val="0"/>
        <w:adjustRightInd w:val="0"/>
        <w:jc w:val="center"/>
        <w:rPr>
          <w:rFonts w:ascii="宋体" w:hAnsi="宋体" w:cs="宋体"/>
          <w:kern w:val="0"/>
          <w:sz w:val="32"/>
          <w:szCs w:val="32"/>
          <w:highlight w:val="none"/>
        </w:rPr>
      </w:pPr>
      <w:r>
        <w:rPr>
          <w:rFonts w:hint="eastAsia" w:ascii="宋体" w:hAnsi="宋体" w:cs="宋体"/>
          <w:kern w:val="0"/>
          <w:sz w:val="32"/>
          <w:szCs w:val="32"/>
          <w:highlight w:val="none"/>
        </w:rPr>
        <w:t>__________（项目名称）比选报价表</w:t>
      </w:r>
    </w:p>
    <w:p>
      <w:pPr>
        <w:autoSpaceDE w:val="0"/>
        <w:autoSpaceDN w:val="0"/>
        <w:adjustRightInd w:val="0"/>
        <w:jc w:val="right"/>
        <w:rPr>
          <w:rFonts w:ascii="宋体" w:hAnsi="宋体" w:cs="宋体"/>
          <w:highlight w:val="none"/>
        </w:rPr>
      </w:pPr>
      <w:r>
        <w:rPr>
          <w:rFonts w:hint="eastAsia" w:ascii="宋体" w:hAnsi="宋体" w:cs="宋体"/>
          <w:highlight w:val="none"/>
        </w:rPr>
        <w:t>比选时间：__年__月__日__时__分</w:t>
      </w:r>
    </w:p>
    <w:tbl>
      <w:tblPr>
        <w:tblStyle w:val="32"/>
        <w:tblpPr w:leftFromText="180" w:rightFromText="180" w:vertAnchor="text" w:horzAnchor="margin" w:tblpXSpec="center" w:tblpY="22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20"/>
        <w:gridCol w:w="1635"/>
        <w:gridCol w:w="1294"/>
        <w:gridCol w:w="1702"/>
        <w:gridCol w:w="168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22" w:type="dxa"/>
            <w:vAlign w:val="center"/>
          </w:tcPr>
          <w:p>
            <w:pPr>
              <w:jc w:val="center"/>
              <w:rPr>
                <w:rFonts w:ascii="宋体" w:hAnsi="宋体" w:cs="宋体"/>
                <w:highlight w:val="none"/>
              </w:rPr>
            </w:pPr>
            <w:r>
              <w:rPr>
                <w:rFonts w:hint="eastAsia" w:ascii="宋体" w:hAnsi="宋体" w:cs="宋体"/>
                <w:highlight w:val="none"/>
              </w:rPr>
              <w:t>序号</w:t>
            </w:r>
          </w:p>
        </w:tc>
        <w:tc>
          <w:tcPr>
            <w:tcW w:w="1320" w:type="dxa"/>
            <w:vAlign w:val="center"/>
          </w:tcPr>
          <w:p>
            <w:pPr>
              <w:jc w:val="center"/>
              <w:rPr>
                <w:rFonts w:ascii="宋体" w:hAnsi="宋体" w:cs="宋体"/>
                <w:highlight w:val="none"/>
              </w:rPr>
            </w:pPr>
            <w:r>
              <w:rPr>
                <w:rFonts w:hint="eastAsia" w:ascii="宋体" w:hAnsi="宋体" w:cs="宋体"/>
                <w:highlight w:val="none"/>
              </w:rPr>
              <w:t>参选单位</w:t>
            </w:r>
          </w:p>
          <w:p>
            <w:pPr>
              <w:jc w:val="center"/>
              <w:rPr>
                <w:rFonts w:ascii="宋体" w:hAnsi="宋体" w:cs="宋体"/>
                <w:highlight w:val="none"/>
              </w:rPr>
            </w:pPr>
            <w:r>
              <w:rPr>
                <w:rFonts w:hint="eastAsia" w:ascii="宋体" w:hAnsi="宋体" w:cs="宋体"/>
                <w:highlight w:val="none"/>
              </w:rPr>
              <w:t>名称</w:t>
            </w:r>
          </w:p>
        </w:tc>
        <w:tc>
          <w:tcPr>
            <w:tcW w:w="1635" w:type="dxa"/>
            <w:vAlign w:val="center"/>
          </w:tcPr>
          <w:p>
            <w:pPr>
              <w:jc w:val="center"/>
              <w:rPr>
                <w:rFonts w:ascii="宋体" w:hAnsi="宋体" w:cs="宋体"/>
                <w:highlight w:val="none"/>
              </w:rPr>
            </w:pPr>
            <w:r>
              <w:rPr>
                <w:rFonts w:hint="eastAsia" w:ascii="宋体" w:hAnsi="宋体" w:cs="宋体"/>
                <w:highlight w:val="none"/>
              </w:rPr>
              <w:t>参选报价</w:t>
            </w:r>
          </w:p>
          <w:p>
            <w:pPr>
              <w:jc w:val="center"/>
              <w:rPr>
                <w:rFonts w:ascii="宋体" w:hAnsi="宋体" w:cs="宋体"/>
                <w:highlight w:val="none"/>
              </w:rPr>
            </w:pPr>
            <w:r>
              <w:rPr>
                <w:rFonts w:hint="eastAsia" w:ascii="宋体" w:hAnsi="宋体" w:cs="宋体"/>
                <w:highlight w:val="none"/>
              </w:rPr>
              <w:t>（元）</w:t>
            </w:r>
          </w:p>
        </w:tc>
        <w:tc>
          <w:tcPr>
            <w:tcW w:w="1294" w:type="dxa"/>
            <w:vAlign w:val="center"/>
          </w:tcPr>
          <w:p>
            <w:pPr>
              <w:jc w:val="center"/>
              <w:rPr>
                <w:rFonts w:ascii="宋体" w:hAnsi="宋体" w:cs="宋体"/>
                <w:highlight w:val="none"/>
              </w:rPr>
            </w:pPr>
          </w:p>
          <w:p>
            <w:pPr>
              <w:jc w:val="center"/>
              <w:rPr>
                <w:rFonts w:ascii="宋体" w:hAnsi="宋体" w:cs="宋体"/>
                <w:highlight w:val="none"/>
              </w:rPr>
            </w:pPr>
            <w:r>
              <w:rPr>
                <w:rFonts w:hint="eastAsia" w:ascii="宋体" w:hAnsi="宋体" w:cs="宋体"/>
                <w:highlight w:val="none"/>
              </w:rPr>
              <w:t>质量</w:t>
            </w:r>
          </w:p>
          <w:p>
            <w:pPr>
              <w:jc w:val="center"/>
              <w:rPr>
                <w:rFonts w:ascii="宋体" w:hAnsi="宋体" w:cs="宋体"/>
                <w:highlight w:val="none"/>
              </w:rPr>
            </w:pPr>
            <w:r>
              <w:rPr>
                <w:rFonts w:hint="eastAsia" w:ascii="宋体" w:hAnsi="宋体" w:cs="宋体"/>
                <w:highlight w:val="none"/>
              </w:rPr>
              <w:t>标准</w:t>
            </w:r>
          </w:p>
          <w:p>
            <w:pPr>
              <w:jc w:val="center"/>
              <w:rPr>
                <w:rFonts w:ascii="宋体" w:hAnsi="宋体" w:cs="宋体"/>
                <w:highlight w:val="none"/>
              </w:rPr>
            </w:pPr>
          </w:p>
        </w:tc>
        <w:tc>
          <w:tcPr>
            <w:tcW w:w="1702" w:type="dxa"/>
            <w:vAlign w:val="center"/>
          </w:tcPr>
          <w:p>
            <w:pPr>
              <w:jc w:val="center"/>
              <w:rPr>
                <w:rFonts w:ascii="宋体" w:hAnsi="宋体" w:cs="宋体"/>
                <w:highlight w:val="none"/>
              </w:rPr>
            </w:pPr>
            <w:r>
              <w:rPr>
                <w:rFonts w:hint="eastAsia" w:ascii="宋体" w:hAnsi="宋体" w:cs="宋体"/>
                <w:highlight w:val="none"/>
              </w:rPr>
              <w:t>服务期限</w:t>
            </w:r>
          </w:p>
        </w:tc>
        <w:tc>
          <w:tcPr>
            <w:tcW w:w="1684" w:type="dxa"/>
            <w:vAlign w:val="center"/>
          </w:tcPr>
          <w:p>
            <w:pPr>
              <w:jc w:val="center"/>
              <w:rPr>
                <w:rFonts w:ascii="宋体" w:hAnsi="宋体" w:cs="宋体"/>
                <w:highlight w:val="none"/>
              </w:rPr>
            </w:pPr>
            <w:r>
              <w:rPr>
                <w:rFonts w:hint="eastAsia" w:ascii="宋体" w:hAnsi="宋体" w:cs="宋体"/>
                <w:highlight w:val="none"/>
              </w:rPr>
              <w:t>服务承诺</w:t>
            </w:r>
          </w:p>
        </w:tc>
        <w:tc>
          <w:tcPr>
            <w:tcW w:w="1013" w:type="dxa"/>
            <w:vAlign w:val="center"/>
          </w:tcPr>
          <w:p>
            <w:pPr>
              <w:jc w:val="center"/>
              <w:rPr>
                <w:rFonts w:ascii="宋体" w:hAnsi="宋体" w:cs="宋体"/>
                <w:highlight w:val="none"/>
              </w:rPr>
            </w:pPr>
            <w:r>
              <w:rPr>
                <w:rFonts w:hint="eastAsia" w:ascii="宋体" w:hAnsi="宋体" w:cs="宋体"/>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2" w:type="dxa"/>
            <w:vAlign w:val="center"/>
          </w:tcPr>
          <w:p>
            <w:pPr>
              <w:jc w:val="center"/>
              <w:rPr>
                <w:rFonts w:ascii="宋体" w:hAnsi="宋体" w:cs="宋体"/>
                <w:b/>
                <w:bCs/>
                <w:highlight w:val="none"/>
              </w:rPr>
            </w:pPr>
          </w:p>
        </w:tc>
        <w:tc>
          <w:tcPr>
            <w:tcW w:w="1320" w:type="dxa"/>
            <w:vAlign w:val="center"/>
          </w:tcPr>
          <w:p>
            <w:pPr>
              <w:jc w:val="center"/>
              <w:rPr>
                <w:rFonts w:ascii="宋体" w:hAnsi="宋体" w:cs="宋体"/>
                <w:b/>
                <w:bCs/>
                <w:highlight w:val="none"/>
              </w:rPr>
            </w:pPr>
          </w:p>
        </w:tc>
        <w:tc>
          <w:tcPr>
            <w:tcW w:w="1635" w:type="dxa"/>
            <w:vAlign w:val="center"/>
          </w:tcPr>
          <w:p>
            <w:pPr>
              <w:jc w:val="center"/>
              <w:rPr>
                <w:rFonts w:ascii="宋体" w:hAnsi="宋体" w:cs="宋体"/>
                <w:b/>
                <w:bCs/>
                <w:highlight w:val="none"/>
              </w:rPr>
            </w:pPr>
          </w:p>
        </w:tc>
        <w:tc>
          <w:tcPr>
            <w:tcW w:w="1294" w:type="dxa"/>
            <w:vAlign w:val="center"/>
          </w:tcPr>
          <w:p>
            <w:pPr>
              <w:jc w:val="center"/>
              <w:rPr>
                <w:rFonts w:ascii="宋体" w:hAnsi="宋体" w:cs="宋体"/>
                <w:b/>
                <w:bCs/>
                <w:highlight w:val="none"/>
              </w:rPr>
            </w:pPr>
          </w:p>
        </w:tc>
        <w:tc>
          <w:tcPr>
            <w:tcW w:w="1702" w:type="dxa"/>
            <w:vAlign w:val="center"/>
          </w:tcPr>
          <w:p>
            <w:pPr>
              <w:jc w:val="center"/>
              <w:rPr>
                <w:rFonts w:ascii="宋体" w:hAnsi="宋体" w:cs="宋体"/>
                <w:b/>
                <w:bCs/>
                <w:highlight w:val="none"/>
              </w:rPr>
            </w:pPr>
          </w:p>
        </w:tc>
        <w:tc>
          <w:tcPr>
            <w:tcW w:w="1684" w:type="dxa"/>
            <w:vAlign w:val="center"/>
          </w:tcPr>
          <w:p>
            <w:pPr>
              <w:jc w:val="center"/>
              <w:rPr>
                <w:rFonts w:ascii="宋体" w:hAnsi="宋体" w:cs="宋体"/>
                <w:b/>
                <w:bCs/>
                <w:highlight w:val="none"/>
              </w:rPr>
            </w:pPr>
          </w:p>
        </w:tc>
        <w:tc>
          <w:tcPr>
            <w:tcW w:w="1013" w:type="dxa"/>
            <w:vAlign w:val="center"/>
          </w:tcPr>
          <w:p>
            <w:pPr>
              <w:jc w:val="center"/>
              <w:rPr>
                <w:rFonts w:ascii="宋体" w:hAnsi="宋体" w:cs="宋体"/>
                <w:b/>
                <w:bCs/>
                <w:highlight w:val="none"/>
              </w:rPr>
            </w:pPr>
          </w:p>
        </w:tc>
      </w:tr>
    </w:tbl>
    <w:p>
      <w:pPr>
        <w:spacing w:line="400" w:lineRule="exact"/>
        <w:rPr>
          <w:rFonts w:ascii="宋体" w:hAnsi="宋体" w:cs="宋体"/>
          <w:sz w:val="24"/>
          <w:highlight w:val="none"/>
        </w:rPr>
      </w:pPr>
      <w:r>
        <w:rPr>
          <w:rFonts w:hint="eastAsia" w:ascii="宋体" w:hAnsi="宋体" w:cs="宋体"/>
          <w:sz w:val="24"/>
          <w:highlight w:val="none"/>
        </w:rPr>
        <w:t xml:space="preserve">       建设单位：              监督人：             记录人：    </w:t>
      </w:r>
    </w:p>
    <w:p>
      <w:pPr>
        <w:spacing w:line="400" w:lineRule="exact"/>
        <w:rPr>
          <w:rFonts w:ascii="宋体" w:hAnsi="宋体" w:cs="宋体"/>
          <w:sz w:val="24"/>
          <w:highlight w:val="none"/>
        </w:rPr>
      </w:pPr>
    </w:p>
    <w:p>
      <w:pPr>
        <w:spacing w:line="400" w:lineRule="exact"/>
        <w:rPr>
          <w:rFonts w:ascii="宋体" w:hAnsi="宋体" w:cs="宋体"/>
          <w:sz w:val="24"/>
          <w:highlight w:val="none"/>
        </w:rPr>
      </w:pPr>
    </w:p>
    <w:p>
      <w:pPr>
        <w:pStyle w:val="2"/>
        <w:spacing w:line="240" w:lineRule="auto"/>
        <w:jc w:val="center"/>
        <w:rPr>
          <w:rFonts w:ascii="宋体" w:hAnsi="宋体" w:cs="宋体"/>
          <w:sz w:val="36"/>
          <w:szCs w:val="28"/>
          <w:highlight w:val="none"/>
        </w:rPr>
      </w:pPr>
      <w:r>
        <w:rPr>
          <w:rFonts w:hint="eastAsia" w:ascii="宋体" w:hAnsi="宋体" w:cs="宋体"/>
          <w:highlight w:val="none"/>
        </w:rPr>
        <w:br w:type="page"/>
      </w:r>
      <w:bookmarkStart w:id="58" w:name="_Toc165389710"/>
      <w:r>
        <w:rPr>
          <w:rFonts w:hint="eastAsia" w:ascii="宋体" w:hAnsi="宋体" w:cs="宋体"/>
          <w:sz w:val="36"/>
          <w:szCs w:val="28"/>
          <w:highlight w:val="none"/>
        </w:rPr>
        <w:t>第三章 评标办法（综合评估法）</w:t>
      </w:r>
      <w:bookmarkEnd w:id="58"/>
    </w:p>
    <w:p>
      <w:pPr>
        <w:ind w:firstLine="480" w:firstLineChars="200"/>
        <w:jc w:val="center"/>
        <w:rPr>
          <w:rFonts w:ascii="宋体" w:hAnsi="宋体" w:cs="宋体"/>
          <w:sz w:val="22"/>
          <w:szCs w:val="21"/>
          <w:highlight w:val="none"/>
        </w:rPr>
      </w:pPr>
      <w:r>
        <w:rPr>
          <w:rFonts w:hint="eastAsia" w:ascii="宋体" w:hAnsi="宋体" w:cs="宋体"/>
          <w:b/>
          <w:sz w:val="24"/>
          <w:szCs w:val="22"/>
          <w:highlight w:val="none"/>
        </w:rPr>
        <w:t>表3-1  评标办法前附表</w:t>
      </w:r>
    </w:p>
    <w:tbl>
      <w:tblPr>
        <w:tblStyle w:val="32"/>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97"/>
        <w:gridCol w:w="2170"/>
        <w:gridCol w:w="6201"/>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 w:hRule="atLeast"/>
          <w:jc w:val="center"/>
        </w:trPr>
        <w:tc>
          <w:tcPr>
            <w:tcW w:w="1229" w:type="dxa"/>
            <w:gridSpan w:val="2"/>
            <w:vAlign w:val="center"/>
          </w:tcPr>
          <w:p>
            <w:pPr>
              <w:jc w:val="center"/>
              <w:rPr>
                <w:rFonts w:ascii="宋体" w:hAnsi="宋体" w:cs="宋体"/>
                <w:b/>
                <w:highlight w:val="none"/>
              </w:rPr>
            </w:pPr>
            <w:r>
              <w:rPr>
                <w:rFonts w:hint="eastAsia" w:ascii="宋体" w:hAnsi="宋体" w:cs="宋体"/>
                <w:b/>
                <w:szCs w:val="21"/>
                <w:highlight w:val="none"/>
              </w:rPr>
              <w:t>条款号</w:t>
            </w:r>
          </w:p>
        </w:tc>
        <w:tc>
          <w:tcPr>
            <w:tcW w:w="2170" w:type="dxa"/>
            <w:vAlign w:val="center"/>
          </w:tcPr>
          <w:p>
            <w:pPr>
              <w:jc w:val="center"/>
              <w:rPr>
                <w:rFonts w:ascii="宋体" w:hAnsi="宋体" w:cs="宋体"/>
                <w:b/>
                <w:highlight w:val="none"/>
              </w:rPr>
            </w:pPr>
            <w:r>
              <w:rPr>
                <w:rFonts w:hint="eastAsia" w:ascii="宋体" w:hAnsi="宋体" w:cs="宋体"/>
                <w:b/>
                <w:szCs w:val="21"/>
                <w:highlight w:val="none"/>
              </w:rPr>
              <w:t>评审因素</w:t>
            </w:r>
          </w:p>
        </w:tc>
        <w:tc>
          <w:tcPr>
            <w:tcW w:w="6201" w:type="dxa"/>
            <w:vAlign w:val="center"/>
          </w:tcPr>
          <w:p>
            <w:pPr>
              <w:jc w:val="center"/>
              <w:rPr>
                <w:rFonts w:ascii="宋体" w:hAnsi="宋体" w:cs="宋体"/>
                <w:b/>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restart"/>
            <w:vAlign w:val="center"/>
          </w:tcPr>
          <w:p>
            <w:pPr>
              <w:jc w:val="center"/>
              <w:rPr>
                <w:rFonts w:ascii="宋体" w:hAnsi="宋体" w:cs="宋体"/>
                <w:highlight w:val="none"/>
              </w:rPr>
            </w:pPr>
            <w:r>
              <w:rPr>
                <w:rFonts w:hint="eastAsia" w:ascii="宋体" w:hAnsi="宋体" w:cs="宋体"/>
                <w:highlight w:val="none"/>
              </w:rPr>
              <w:t>2.1.1</w:t>
            </w:r>
          </w:p>
        </w:tc>
        <w:tc>
          <w:tcPr>
            <w:tcW w:w="697" w:type="dxa"/>
            <w:vMerge w:val="restart"/>
            <w:vAlign w:val="center"/>
          </w:tcPr>
          <w:p>
            <w:pPr>
              <w:jc w:val="center"/>
              <w:rPr>
                <w:rFonts w:ascii="宋体" w:hAnsi="宋体" w:cs="宋体"/>
                <w:highlight w:val="none"/>
              </w:rPr>
            </w:pPr>
            <w:r>
              <w:rPr>
                <w:rFonts w:hint="eastAsia" w:ascii="宋体" w:hAnsi="宋体" w:cs="宋体"/>
                <w:szCs w:val="21"/>
                <w:highlight w:val="none"/>
              </w:rPr>
              <w:t>形式评审标准</w:t>
            </w: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参选单位名称</w:t>
            </w:r>
          </w:p>
        </w:tc>
        <w:tc>
          <w:tcPr>
            <w:tcW w:w="6201" w:type="dxa"/>
            <w:vAlign w:val="center"/>
          </w:tcPr>
          <w:p>
            <w:pPr>
              <w:rPr>
                <w:rFonts w:ascii="宋体" w:hAnsi="宋体" w:cs="宋体"/>
                <w:highlight w:val="none"/>
              </w:rPr>
            </w:pPr>
            <w:r>
              <w:rPr>
                <w:rFonts w:hint="eastAsia" w:ascii="宋体" w:hAnsi="宋体" w:cs="宋体"/>
                <w:szCs w:val="21"/>
                <w:highlight w:val="none"/>
              </w:rPr>
              <w:t>与营业执照（或法人证书）一致。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参选文件签字盖章</w:t>
            </w:r>
          </w:p>
        </w:tc>
        <w:tc>
          <w:tcPr>
            <w:tcW w:w="6201" w:type="dxa"/>
            <w:vAlign w:val="center"/>
          </w:tcPr>
          <w:p>
            <w:pPr>
              <w:rPr>
                <w:rFonts w:ascii="宋体" w:hAnsi="宋体" w:cs="宋体"/>
                <w:szCs w:val="21"/>
                <w:highlight w:val="none"/>
              </w:rPr>
            </w:pPr>
            <w:r>
              <w:rPr>
                <w:rFonts w:hint="eastAsia" w:ascii="宋体" w:hAnsi="宋体" w:cs="宋体"/>
                <w:szCs w:val="21"/>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ind w:firstLine="189" w:firstLineChars="90"/>
              <w:jc w:val="center"/>
              <w:rPr>
                <w:rFonts w:ascii="宋体" w:hAnsi="宋体" w:cs="宋体"/>
                <w:szCs w:val="21"/>
                <w:highlight w:val="none"/>
              </w:rPr>
            </w:pPr>
            <w:r>
              <w:rPr>
                <w:rFonts w:hint="eastAsia" w:ascii="宋体" w:hAnsi="宋体" w:cs="宋体"/>
                <w:szCs w:val="21"/>
                <w:highlight w:val="none"/>
              </w:rPr>
              <w:t>参选文件的密封</w:t>
            </w:r>
          </w:p>
        </w:tc>
        <w:tc>
          <w:tcPr>
            <w:tcW w:w="6201" w:type="dxa"/>
            <w:vAlign w:val="center"/>
          </w:tcPr>
          <w:p>
            <w:pPr>
              <w:rPr>
                <w:rFonts w:ascii="宋体" w:hAnsi="宋体" w:cs="宋体"/>
                <w:szCs w:val="21"/>
                <w:highlight w:val="none"/>
              </w:rPr>
            </w:pPr>
            <w:r>
              <w:rPr>
                <w:rFonts w:hint="eastAsia" w:ascii="宋体" w:hAnsi="宋体" w:cs="宋体"/>
                <w:szCs w:val="21"/>
                <w:highlight w:val="none"/>
              </w:rPr>
              <w:t>参选文件密封、标记等严格符合比选文件要求。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参选文件的格式</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符合第七章“参选文件格式”的要求。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tcPr>
          <w:p>
            <w:pPr>
              <w:widowControl/>
              <w:jc w:val="left"/>
              <w:rPr>
                <w:rFonts w:ascii="宋体" w:hAnsi="宋体" w:cs="宋体"/>
                <w:highlight w:val="none"/>
              </w:rPr>
            </w:pPr>
          </w:p>
        </w:tc>
        <w:tc>
          <w:tcPr>
            <w:tcW w:w="697" w:type="dxa"/>
            <w:vMerge w:val="continue"/>
          </w:tcPr>
          <w:p>
            <w:pPr>
              <w:widowControl/>
              <w:jc w:val="left"/>
              <w:rPr>
                <w:rFonts w:ascii="宋体" w:hAnsi="宋体" w:cs="宋体"/>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报价唯一</w:t>
            </w:r>
          </w:p>
        </w:tc>
        <w:tc>
          <w:tcPr>
            <w:tcW w:w="6201" w:type="dxa"/>
            <w:vAlign w:val="center"/>
          </w:tcPr>
          <w:p>
            <w:pPr>
              <w:rPr>
                <w:rFonts w:ascii="宋体" w:hAnsi="宋体" w:cs="宋体"/>
                <w:szCs w:val="21"/>
                <w:highlight w:val="none"/>
              </w:rPr>
            </w:pPr>
            <w:r>
              <w:rPr>
                <w:rFonts w:hint="eastAsia" w:ascii="宋体" w:hAnsi="宋体" w:cs="宋体"/>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79" w:hRule="atLeast"/>
          <w:jc w:val="center"/>
        </w:trPr>
        <w:tc>
          <w:tcPr>
            <w:tcW w:w="532" w:type="dxa"/>
            <w:vMerge w:val="restart"/>
            <w:vAlign w:val="center"/>
          </w:tcPr>
          <w:p>
            <w:pPr>
              <w:jc w:val="center"/>
              <w:rPr>
                <w:rFonts w:ascii="宋体" w:hAnsi="宋体" w:cs="宋体"/>
                <w:highlight w:val="none"/>
              </w:rPr>
            </w:pPr>
            <w:r>
              <w:rPr>
                <w:rFonts w:hint="eastAsia" w:ascii="宋体" w:hAnsi="宋体" w:cs="宋体"/>
                <w:highlight w:val="none"/>
              </w:rPr>
              <w:t>2.1.2</w:t>
            </w:r>
          </w:p>
        </w:tc>
        <w:tc>
          <w:tcPr>
            <w:tcW w:w="697" w:type="dxa"/>
            <w:vMerge w:val="restart"/>
            <w:vAlign w:val="center"/>
          </w:tcPr>
          <w:p>
            <w:pPr>
              <w:jc w:val="center"/>
              <w:rPr>
                <w:rFonts w:ascii="宋体" w:hAnsi="宋体" w:cs="宋体"/>
                <w:szCs w:val="21"/>
                <w:highlight w:val="none"/>
              </w:rPr>
            </w:pPr>
            <w:r>
              <w:rPr>
                <w:rFonts w:hint="eastAsia" w:ascii="宋体" w:hAnsi="宋体" w:cs="宋体"/>
                <w:szCs w:val="21"/>
                <w:highlight w:val="none"/>
              </w:rPr>
              <w:t>资格评审标准</w:t>
            </w: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营业执照（或法人证书）</w:t>
            </w:r>
          </w:p>
        </w:tc>
        <w:tc>
          <w:tcPr>
            <w:tcW w:w="6201" w:type="dxa"/>
            <w:vAlign w:val="center"/>
          </w:tcPr>
          <w:p>
            <w:pPr>
              <w:rPr>
                <w:rFonts w:ascii="宋体" w:hAnsi="宋体" w:cs="宋体"/>
                <w:szCs w:val="21"/>
                <w:highlight w:val="none"/>
              </w:rPr>
            </w:pPr>
            <w:r>
              <w:rPr>
                <w:rFonts w:hint="eastAsia" w:ascii="宋体" w:hAnsi="宋体" w:cs="宋体"/>
                <w:szCs w:val="21"/>
                <w:highlight w:val="none"/>
              </w:rPr>
              <w:t>具备有效的营业执照（或法人证书），</w:t>
            </w:r>
            <w:r>
              <w:rPr>
                <w:rFonts w:hint="eastAsia" w:ascii="宋体" w:hAnsi="宋体" w:cs="宋体"/>
                <w:szCs w:val="21"/>
                <w:highlight w:val="none"/>
                <w:lang w:val="zh-CN"/>
              </w:rPr>
              <w:t>文件内附复印件加盖公章。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326"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jc w:val="center"/>
              <w:rPr>
                <w:rFonts w:ascii="宋体" w:hAnsi="宋体" w:cs="宋体"/>
                <w:szCs w:val="21"/>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财务状况</w:t>
            </w:r>
          </w:p>
        </w:tc>
        <w:tc>
          <w:tcPr>
            <w:tcW w:w="6201" w:type="dxa"/>
            <w:vAlign w:val="center"/>
          </w:tcPr>
          <w:p>
            <w:pPr>
              <w:rPr>
                <w:rFonts w:ascii="宋体" w:hAnsi="宋体" w:cs="宋体"/>
                <w:szCs w:val="21"/>
                <w:highlight w:val="none"/>
              </w:rPr>
            </w:pPr>
            <w:r>
              <w:rPr>
                <w:rFonts w:hint="eastAsia" w:ascii="宋体" w:hAnsi="宋体" w:cs="宋体"/>
                <w:szCs w:val="21"/>
                <w:highlight w:val="none"/>
              </w:rPr>
              <w:t>近三年（2021年—2023年）财务状况良好，无破产、资产被冻结、接管等情况发生。标书内附近三年（2021年—2023年）财务审计报告（新成立公司提供就近年份审计报告，2023年以后成立公司提供财务状况良好承诺书）</w:t>
            </w:r>
            <w:r>
              <w:rPr>
                <w:rFonts w:hint="eastAsia" w:ascii="宋体" w:hAnsi="宋体" w:cs="宋体"/>
                <w:szCs w:val="21"/>
                <w:highlight w:val="none"/>
                <w:lang w:val="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90"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jc w:val="center"/>
              <w:rPr>
                <w:rFonts w:ascii="宋体" w:hAnsi="宋体" w:cs="宋体"/>
                <w:szCs w:val="21"/>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类似项目业绩</w:t>
            </w:r>
          </w:p>
        </w:tc>
        <w:tc>
          <w:tcPr>
            <w:tcW w:w="6201" w:type="dxa"/>
            <w:vAlign w:val="center"/>
          </w:tcPr>
          <w:p>
            <w:pPr>
              <w:rPr>
                <w:rFonts w:ascii="宋体" w:hAnsi="宋体" w:cs="宋体"/>
                <w:b/>
                <w:bCs/>
                <w:szCs w:val="21"/>
                <w:highlight w:val="none"/>
              </w:rPr>
            </w:pPr>
            <w:r>
              <w:rPr>
                <w:rFonts w:hint="eastAsia" w:ascii="宋体" w:hAnsi="宋体" w:cs="宋体"/>
                <w:szCs w:val="21"/>
                <w:highlight w:val="none"/>
              </w:rPr>
              <w:t>近二年（2022年-至今）有成功组织开展或通过水利工程标准化管理评价的相关业绩，标书内附中标通知书或合同协议书或委托方出具的项目已完成证明复印件加盖公章。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3"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jc w:val="center"/>
              <w:rPr>
                <w:rFonts w:ascii="宋体" w:hAnsi="宋体" w:cs="宋体"/>
                <w:szCs w:val="21"/>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信誉要求</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符合第二章“比选须知”的规定。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66"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jc w:val="center"/>
              <w:rPr>
                <w:rFonts w:ascii="宋体" w:hAnsi="宋体" w:cs="宋体"/>
                <w:szCs w:val="21"/>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项目负责人</w:t>
            </w:r>
          </w:p>
        </w:tc>
        <w:tc>
          <w:tcPr>
            <w:tcW w:w="6201" w:type="dxa"/>
            <w:vAlign w:val="center"/>
          </w:tcPr>
          <w:p>
            <w:pPr>
              <w:rPr>
                <w:rFonts w:ascii="宋体" w:hAnsi="宋体" w:cs="宋体"/>
                <w:highlight w:val="none"/>
              </w:rPr>
            </w:pPr>
            <w:r>
              <w:rPr>
                <w:rFonts w:hint="eastAsia" w:ascii="宋体" w:hAnsi="宋体" w:cs="宋体"/>
                <w:szCs w:val="21"/>
                <w:highlight w:val="none"/>
              </w:rPr>
              <w:t>拟派出的</w:t>
            </w:r>
            <w:r>
              <w:rPr>
                <w:rFonts w:hint="eastAsia" w:ascii="宋体" w:hAnsi="宋体" w:cs="宋体"/>
                <w:bCs/>
                <w:szCs w:val="21"/>
                <w:highlight w:val="none"/>
                <w:lang w:val="zh-CN"/>
              </w:rPr>
              <w:t>项目负责人须具备水利工程相关专业高级</w:t>
            </w:r>
            <w:r>
              <w:rPr>
                <w:rFonts w:hint="eastAsia" w:ascii="宋体" w:hAnsi="宋体" w:cs="宋体"/>
                <w:bCs/>
                <w:szCs w:val="21"/>
                <w:highlight w:val="none"/>
              </w:rPr>
              <w:t>及以上</w:t>
            </w:r>
            <w:r>
              <w:rPr>
                <w:rFonts w:hint="eastAsia" w:ascii="宋体" w:hAnsi="宋体" w:cs="宋体"/>
                <w:bCs/>
                <w:szCs w:val="21"/>
                <w:highlight w:val="none"/>
                <w:lang w:val="zh-CN"/>
              </w:rPr>
              <w:t>职称证书</w:t>
            </w:r>
            <w:r>
              <w:rPr>
                <w:rFonts w:hint="eastAsia" w:ascii="宋体" w:hAnsi="宋体" w:cs="宋体"/>
                <w:szCs w:val="21"/>
                <w:highlight w:val="none"/>
              </w:rPr>
              <w:t>；标书内附证书复印件加盖公章。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jc w:val="center"/>
              <w:rPr>
                <w:rFonts w:ascii="宋体" w:hAnsi="宋体" w:cs="宋体"/>
                <w:szCs w:val="21"/>
                <w:highlight w:val="none"/>
              </w:rPr>
            </w:pP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其他要求</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符合第二章“比选须知”规定。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restart"/>
            <w:vAlign w:val="center"/>
          </w:tcPr>
          <w:p>
            <w:pPr>
              <w:jc w:val="center"/>
              <w:rPr>
                <w:rFonts w:ascii="宋体" w:hAnsi="宋体" w:cs="宋体"/>
                <w:highlight w:val="none"/>
              </w:rPr>
            </w:pPr>
            <w:r>
              <w:rPr>
                <w:rFonts w:hint="eastAsia" w:ascii="宋体" w:hAnsi="宋体" w:cs="宋体"/>
                <w:highlight w:val="none"/>
              </w:rPr>
              <w:t>2.1.3</w:t>
            </w:r>
          </w:p>
        </w:tc>
        <w:tc>
          <w:tcPr>
            <w:tcW w:w="697" w:type="dxa"/>
            <w:vMerge w:val="restart"/>
            <w:vAlign w:val="center"/>
          </w:tcPr>
          <w:p>
            <w:pPr>
              <w:jc w:val="center"/>
              <w:rPr>
                <w:rFonts w:ascii="宋体" w:hAnsi="宋体" w:cs="宋体"/>
                <w:szCs w:val="21"/>
                <w:highlight w:val="none"/>
              </w:rPr>
            </w:pPr>
            <w:r>
              <w:rPr>
                <w:rFonts w:hint="eastAsia" w:ascii="宋体" w:hAnsi="宋体" w:cs="宋体"/>
                <w:szCs w:val="21"/>
                <w:highlight w:val="none"/>
              </w:rPr>
              <w:t>响应性评审标准</w:t>
            </w: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建设内容</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符合第二章“比选须知”规定。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服务期限</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符合第二章“比选须知”规定。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6"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质量标准</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符合国家现行有关标准、规范的规定并满足向水行政主管部门报批要求。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ind w:firstLine="189" w:firstLineChars="90"/>
              <w:jc w:val="center"/>
              <w:rPr>
                <w:rFonts w:ascii="宋体" w:hAnsi="宋体" w:cs="宋体"/>
                <w:highlight w:val="none"/>
              </w:rPr>
            </w:pPr>
            <w:r>
              <w:rPr>
                <w:rFonts w:hint="eastAsia" w:ascii="宋体" w:hAnsi="宋体" w:cs="宋体"/>
                <w:szCs w:val="21"/>
                <w:highlight w:val="none"/>
              </w:rPr>
              <w:t>技术标准和要求</w:t>
            </w:r>
          </w:p>
        </w:tc>
        <w:tc>
          <w:tcPr>
            <w:tcW w:w="6201" w:type="dxa"/>
            <w:vAlign w:val="center"/>
          </w:tcPr>
          <w:p>
            <w:pPr>
              <w:rPr>
                <w:rFonts w:ascii="宋体" w:hAnsi="宋体" w:cs="宋体"/>
                <w:szCs w:val="21"/>
                <w:highlight w:val="none"/>
              </w:rPr>
            </w:pPr>
            <w:r>
              <w:rPr>
                <w:rFonts w:hint="eastAsia" w:ascii="宋体" w:hAnsi="宋体" w:cs="宋体"/>
                <w:szCs w:val="21"/>
                <w:highlight w:val="none"/>
              </w:rPr>
              <w:t>符合第六章“技术标准和要求”规定。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532" w:type="dxa"/>
            <w:vMerge w:val="continue"/>
            <w:vAlign w:val="center"/>
          </w:tcPr>
          <w:p>
            <w:pPr>
              <w:widowControl/>
              <w:jc w:val="left"/>
              <w:rPr>
                <w:rFonts w:ascii="宋体" w:hAnsi="宋体" w:cs="宋体"/>
                <w:highlight w:val="none"/>
              </w:rPr>
            </w:pPr>
          </w:p>
        </w:tc>
        <w:tc>
          <w:tcPr>
            <w:tcW w:w="697" w:type="dxa"/>
            <w:vMerge w:val="continue"/>
            <w:vAlign w:val="center"/>
          </w:tcPr>
          <w:p>
            <w:pPr>
              <w:widowControl/>
              <w:jc w:val="left"/>
              <w:rPr>
                <w:rFonts w:ascii="宋体" w:hAnsi="宋体" w:cs="宋体"/>
                <w:highlight w:val="none"/>
              </w:rPr>
            </w:pPr>
          </w:p>
        </w:tc>
        <w:tc>
          <w:tcPr>
            <w:tcW w:w="2170" w:type="dxa"/>
            <w:vAlign w:val="center"/>
          </w:tcPr>
          <w:p>
            <w:pPr>
              <w:pStyle w:val="21"/>
              <w:tabs>
                <w:tab w:val="clear" w:pos="4153"/>
                <w:tab w:val="clear" w:pos="8306"/>
              </w:tabs>
              <w:autoSpaceDE w:val="0"/>
              <w:autoSpaceDN w:val="0"/>
              <w:adjustRightInd w:val="0"/>
              <w:snapToGrid/>
              <w:ind w:firstLine="189" w:firstLineChars="90"/>
              <w:jc w:val="center"/>
              <w:rPr>
                <w:rFonts w:ascii="宋体" w:hAnsi="宋体" w:cs="宋体"/>
                <w:sz w:val="21"/>
                <w:szCs w:val="21"/>
                <w:highlight w:val="none"/>
              </w:rPr>
            </w:pPr>
            <w:bookmarkStart w:id="59" w:name="_Toc460361803"/>
            <w:r>
              <w:rPr>
                <w:rFonts w:hint="eastAsia" w:ascii="宋体" w:hAnsi="宋体" w:cs="宋体"/>
                <w:sz w:val="21"/>
                <w:szCs w:val="21"/>
                <w:highlight w:val="none"/>
              </w:rPr>
              <w:t>参选</w:t>
            </w:r>
            <w:bookmarkEnd w:id="59"/>
            <w:r>
              <w:rPr>
                <w:rFonts w:hint="eastAsia" w:ascii="宋体" w:hAnsi="宋体" w:cs="宋体"/>
                <w:sz w:val="21"/>
                <w:szCs w:val="21"/>
                <w:highlight w:val="none"/>
              </w:rPr>
              <w:t>报价</w:t>
            </w:r>
          </w:p>
        </w:tc>
        <w:tc>
          <w:tcPr>
            <w:tcW w:w="6201" w:type="dxa"/>
            <w:vAlign w:val="center"/>
          </w:tcPr>
          <w:p>
            <w:pPr>
              <w:rPr>
                <w:rFonts w:ascii="宋体" w:hAnsi="宋体" w:cs="宋体"/>
                <w:szCs w:val="21"/>
                <w:highlight w:val="none"/>
              </w:rPr>
            </w:pPr>
            <w:bookmarkStart w:id="60" w:name="_Toc460361804"/>
            <w:r>
              <w:rPr>
                <w:rFonts w:hint="eastAsia" w:ascii="宋体" w:hAnsi="宋体" w:cs="宋体"/>
                <w:szCs w:val="21"/>
                <w:highlight w:val="none"/>
              </w:rPr>
              <w:t>未超过第二章“比选须知”前附表第6.2.1款载明的最高控制价。</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29" w:type="dxa"/>
            <w:gridSpan w:val="2"/>
            <w:vAlign w:val="center"/>
          </w:tcPr>
          <w:p>
            <w:pPr>
              <w:jc w:val="center"/>
              <w:rPr>
                <w:rFonts w:ascii="宋体" w:hAnsi="宋体" w:cs="宋体"/>
                <w:szCs w:val="21"/>
                <w:highlight w:val="none"/>
              </w:rPr>
            </w:pPr>
            <w:r>
              <w:rPr>
                <w:rFonts w:hint="eastAsia" w:ascii="宋体" w:hAnsi="宋体" w:cs="宋体"/>
                <w:szCs w:val="21"/>
                <w:highlight w:val="none"/>
              </w:rPr>
              <w:t>条款号</w:t>
            </w: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条款内容</w:t>
            </w:r>
          </w:p>
        </w:tc>
        <w:tc>
          <w:tcPr>
            <w:tcW w:w="6221" w:type="dxa"/>
            <w:gridSpan w:val="2"/>
            <w:vAlign w:val="center"/>
          </w:tcPr>
          <w:p>
            <w:pPr>
              <w:jc w:val="center"/>
              <w:rPr>
                <w:rFonts w:ascii="宋体" w:hAnsi="宋体" w:cs="宋体"/>
                <w:szCs w:val="21"/>
                <w:highlight w:val="none"/>
              </w:rPr>
            </w:pPr>
            <w:r>
              <w:rPr>
                <w:rFonts w:hint="eastAsia" w:ascii="宋体" w:hAnsi="宋体" w:cs="宋体"/>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229" w:type="dxa"/>
            <w:gridSpan w:val="2"/>
            <w:vAlign w:val="center"/>
          </w:tcPr>
          <w:p>
            <w:pPr>
              <w:jc w:val="center"/>
              <w:rPr>
                <w:rFonts w:ascii="宋体" w:hAnsi="宋体" w:cs="宋体"/>
                <w:szCs w:val="21"/>
                <w:highlight w:val="none"/>
              </w:rPr>
            </w:pPr>
            <w:r>
              <w:rPr>
                <w:rFonts w:hint="eastAsia" w:ascii="宋体" w:hAnsi="宋体" w:cs="宋体"/>
                <w:szCs w:val="21"/>
                <w:highlight w:val="none"/>
              </w:rPr>
              <w:t>2.2.1</w:t>
            </w: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分值构成</w:t>
            </w:r>
          </w:p>
          <w:p>
            <w:pPr>
              <w:jc w:val="center"/>
              <w:rPr>
                <w:rFonts w:ascii="宋体" w:hAnsi="宋体" w:cs="宋体"/>
                <w:szCs w:val="21"/>
                <w:highlight w:val="none"/>
              </w:rPr>
            </w:pPr>
            <w:r>
              <w:rPr>
                <w:rFonts w:hint="eastAsia" w:ascii="宋体" w:hAnsi="宋体" w:cs="宋体"/>
                <w:szCs w:val="21"/>
                <w:highlight w:val="none"/>
              </w:rPr>
              <w:t>（总分100分）</w:t>
            </w:r>
          </w:p>
        </w:tc>
        <w:tc>
          <w:tcPr>
            <w:tcW w:w="6221" w:type="dxa"/>
            <w:gridSpan w:val="2"/>
            <w:vAlign w:val="center"/>
          </w:tcPr>
          <w:p>
            <w:pPr>
              <w:rPr>
                <w:rFonts w:ascii="宋体" w:hAnsi="宋体" w:cs="宋体"/>
                <w:szCs w:val="21"/>
                <w:highlight w:val="none"/>
              </w:rPr>
            </w:pPr>
            <w:r>
              <w:rPr>
                <w:rFonts w:hint="eastAsia" w:ascii="宋体" w:hAnsi="宋体" w:cs="宋体"/>
                <w:szCs w:val="21"/>
                <w:highlight w:val="none"/>
              </w:rPr>
              <w:t>1.比选报价</w:t>
            </w:r>
            <w:r>
              <w:rPr>
                <w:rFonts w:hint="eastAsia" w:ascii="宋体" w:hAnsi="宋体" w:cs="宋体"/>
                <w:szCs w:val="21"/>
                <w:highlight w:val="none"/>
                <w:u w:val="single"/>
              </w:rPr>
              <w:t>10</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2.参选单位业绩</w:t>
            </w:r>
            <w:r>
              <w:rPr>
                <w:rFonts w:hint="eastAsia" w:ascii="宋体" w:hAnsi="宋体" w:cs="宋体"/>
                <w:szCs w:val="21"/>
                <w:highlight w:val="none"/>
                <w:u w:val="single"/>
              </w:rPr>
              <w:t>15</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3.项目负责人业绩</w:t>
            </w:r>
            <w:r>
              <w:rPr>
                <w:rFonts w:hint="eastAsia" w:ascii="宋体" w:hAnsi="宋体" w:cs="宋体"/>
                <w:szCs w:val="21"/>
                <w:highlight w:val="none"/>
                <w:u w:val="single"/>
              </w:rPr>
              <w:t>6</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4.人员配备</w:t>
            </w:r>
            <w:r>
              <w:rPr>
                <w:rFonts w:hint="eastAsia" w:ascii="宋体" w:hAnsi="宋体" w:cs="宋体"/>
                <w:szCs w:val="21"/>
                <w:highlight w:val="none"/>
                <w:u w:val="single"/>
              </w:rPr>
              <w:t>14</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5.实施方案</w:t>
            </w:r>
            <w:r>
              <w:rPr>
                <w:rFonts w:hint="eastAsia" w:ascii="宋体" w:hAnsi="宋体" w:cs="宋体"/>
                <w:szCs w:val="21"/>
                <w:highlight w:val="none"/>
                <w:u w:val="single"/>
              </w:rPr>
              <w:t>55</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合计100分。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229" w:type="dxa"/>
            <w:gridSpan w:val="2"/>
            <w:vAlign w:val="center"/>
          </w:tcPr>
          <w:p>
            <w:pPr>
              <w:jc w:val="center"/>
              <w:rPr>
                <w:rFonts w:ascii="宋体" w:hAnsi="宋体" w:cs="宋体"/>
                <w:szCs w:val="21"/>
                <w:highlight w:val="none"/>
              </w:rPr>
            </w:pPr>
            <w:r>
              <w:rPr>
                <w:rFonts w:hint="eastAsia" w:ascii="宋体" w:hAnsi="宋体" w:cs="宋体"/>
                <w:szCs w:val="21"/>
                <w:highlight w:val="none"/>
              </w:rPr>
              <w:t>2.2.2</w:t>
            </w: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基准价计算方法</w:t>
            </w:r>
          </w:p>
        </w:tc>
        <w:tc>
          <w:tcPr>
            <w:tcW w:w="6221" w:type="dxa"/>
            <w:gridSpan w:val="2"/>
            <w:vAlign w:val="center"/>
          </w:tcPr>
          <w:p>
            <w:pPr>
              <w:rPr>
                <w:rFonts w:ascii="宋体" w:hAnsi="宋体" w:cs="宋体"/>
                <w:bCs/>
                <w:szCs w:val="21"/>
                <w:highlight w:val="none"/>
                <w:lang w:val="zh-CN"/>
              </w:rPr>
            </w:pPr>
            <w:r>
              <w:rPr>
                <w:rFonts w:hint="eastAsia" w:ascii="宋体" w:hAnsi="宋体" w:cs="宋体"/>
                <w:bCs/>
                <w:szCs w:val="21"/>
                <w:highlight w:val="none"/>
                <w:lang w:val="zh-CN"/>
              </w:rPr>
              <w:t>基准价等于①参选单位为5家以上（不含</w:t>
            </w:r>
            <w:r>
              <w:rPr>
                <w:rFonts w:hint="eastAsia" w:ascii="宋体" w:hAnsi="宋体" w:cs="宋体"/>
                <w:bCs/>
                <w:szCs w:val="21"/>
                <w:highlight w:val="none"/>
              </w:rPr>
              <w:t>5家）</w:t>
            </w:r>
            <w:r>
              <w:rPr>
                <w:rFonts w:hint="eastAsia" w:ascii="宋体" w:hAnsi="宋体" w:cs="宋体"/>
                <w:bCs/>
                <w:szCs w:val="21"/>
                <w:highlight w:val="none"/>
                <w:lang w:val="zh-CN"/>
              </w:rPr>
              <w:t>，去掉最高和最低报价后的算术平均值；②参选单位少于5家（则基准价等于各参选单位报价的算术平均值）。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9" w:type="dxa"/>
            <w:gridSpan w:val="2"/>
            <w:vAlign w:val="center"/>
          </w:tcPr>
          <w:p>
            <w:pPr>
              <w:jc w:val="center"/>
              <w:rPr>
                <w:rFonts w:ascii="宋体" w:hAnsi="宋体" w:cs="宋体"/>
                <w:szCs w:val="21"/>
                <w:highlight w:val="none"/>
              </w:rPr>
            </w:pPr>
            <w:r>
              <w:rPr>
                <w:rFonts w:hint="eastAsia" w:ascii="宋体" w:hAnsi="宋体" w:cs="宋体"/>
                <w:szCs w:val="21"/>
                <w:highlight w:val="none"/>
              </w:rPr>
              <w:t>2.2.3</w:t>
            </w:r>
          </w:p>
        </w:tc>
        <w:tc>
          <w:tcPr>
            <w:tcW w:w="2170" w:type="dxa"/>
            <w:vAlign w:val="center"/>
          </w:tcPr>
          <w:p>
            <w:pPr>
              <w:jc w:val="center"/>
              <w:rPr>
                <w:rFonts w:ascii="宋体" w:hAnsi="宋体" w:cs="宋体"/>
                <w:szCs w:val="21"/>
                <w:highlight w:val="none"/>
              </w:rPr>
            </w:pPr>
            <w:r>
              <w:rPr>
                <w:rFonts w:hint="eastAsia" w:ascii="宋体" w:hAnsi="宋体" w:cs="宋体"/>
                <w:szCs w:val="21"/>
                <w:highlight w:val="none"/>
              </w:rPr>
              <w:t>报价的偏差率计算公式</w:t>
            </w:r>
          </w:p>
        </w:tc>
        <w:tc>
          <w:tcPr>
            <w:tcW w:w="6221" w:type="dxa"/>
            <w:gridSpan w:val="2"/>
            <w:vAlign w:val="center"/>
          </w:tcPr>
          <w:p>
            <w:pPr>
              <w:rPr>
                <w:rFonts w:ascii="宋体" w:hAnsi="宋体" w:cs="宋体"/>
                <w:szCs w:val="21"/>
                <w:highlight w:val="none"/>
              </w:rPr>
            </w:pPr>
            <w:r>
              <w:rPr>
                <w:rFonts w:hint="eastAsia" w:ascii="宋体" w:hAnsi="宋体" w:cs="宋体"/>
                <w:szCs w:val="21"/>
                <w:highlight w:val="none"/>
              </w:rPr>
              <w:t>偏差率=100%×|（参选单位报价－基准价）|/基准价</w:t>
            </w:r>
          </w:p>
        </w:tc>
      </w:tr>
    </w:tbl>
    <w:p>
      <w:pPr>
        <w:ind w:firstLine="480" w:firstLineChars="200"/>
        <w:jc w:val="center"/>
        <w:rPr>
          <w:rFonts w:ascii="宋体" w:hAnsi="宋体" w:cs="宋体"/>
          <w:b/>
          <w:sz w:val="24"/>
          <w:szCs w:val="22"/>
          <w:highlight w:val="none"/>
        </w:rPr>
      </w:pPr>
    </w:p>
    <w:p>
      <w:pPr>
        <w:ind w:firstLine="480" w:firstLineChars="200"/>
        <w:jc w:val="center"/>
        <w:rPr>
          <w:rFonts w:ascii="宋体" w:hAnsi="宋体" w:cs="宋体"/>
          <w:b/>
          <w:sz w:val="24"/>
          <w:szCs w:val="22"/>
          <w:highlight w:val="none"/>
        </w:rPr>
      </w:pPr>
      <w:r>
        <w:rPr>
          <w:rFonts w:hint="eastAsia" w:ascii="宋体" w:hAnsi="宋体" w:cs="宋体"/>
          <w:b/>
          <w:sz w:val="24"/>
          <w:szCs w:val="22"/>
          <w:highlight w:val="none"/>
        </w:rPr>
        <w:t>表</w:t>
      </w:r>
      <w:r>
        <w:rPr>
          <w:rFonts w:ascii="宋体" w:hAnsi="宋体" w:cs="宋体"/>
          <w:b/>
          <w:sz w:val="24"/>
          <w:szCs w:val="22"/>
          <w:highlight w:val="none"/>
        </w:rPr>
        <w:t xml:space="preserve">3-2 </w:t>
      </w:r>
      <w:r>
        <w:rPr>
          <w:rFonts w:hint="eastAsia" w:ascii="宋体" w:hAnsi="宋体" w:cs="宋体"/>
          <w:b/>
          <w:sz w:val="24"/>
          <w:szCs w:val="22"/>
          <w:highlight w:val="none"/>
        </w:rPr>
        <w:t>评分标准</w:t>
      </w:r>
    </w:p>
    <w:tbl>
      <w:tblPr>
        <w:tblStyle w:val="3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09"/>
        <w:gridCol w:w="90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6"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809"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评分因素</w:t>
            </w:r>
          </w:p>
        </w:tc>
        <w:tc>
          <w:tcPr>
            <w:tcW w:w="900"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分值</w:t>
            </w:r>
          </w:p>
        </w:tc>
        <w:tc>
          <w:tcPr>
            <w:tcW w:w="6245"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76"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1</w:t>
            </w:r>
          </w:p>
        </w:tc>
        <w:tc>
          <w:tcPr>
            <w:tcW w:w="1809"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比选报价</w:t>
            </w:r>
          </w:p>
        </w:tc>
        <w:tc>
          <w:tcPr>
            <w:tcW w:w="900"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10</w:t>
            </w:r>
          </w:p>
        </w:tc>
        <w:tc>
          <w:tcPr>
            <w:tcW w:w="6245" w:type="dxa"/>
            <w:vAlign w:val="center"/>
          </w:tcPr>
          <w:p>
            <w:pPr>
              <w:rPr>
                <w:rFonts w:ascii="宋体" w:hAnsi="宋体" w:cs="宋体"/>
                <w:szCs w:val="21"/>
                <w:highlight w:val="none"/>
              </w:rPr>
            </w:pPr>
            <w:r>
              <w:rPr>
                <w:rFonts w:hint="eastAsia" w:ascii="宋体" w:hAnsi="宋体" w:cs="宋体"/>
                <w:szCs w:val="21"/>
                <w:highlight w:val="none"/>
              </w:rPr>
              <w:t>当参选单位的报价等于基准价时，得满分10分；</w:t>
            </w:r>
          </w:p>
          <w:p>
            <w:pPr>
              <w:widowControl/>
              <w:jc w:val="left"/>
              <w:rPr>
                <w:rFonts w:ascii="宋体" w:hAnsi="宋体" w:cs="宋体"/>
                <w:color w:val="000000"/>
                <w:kern w:val="0"/>
                <w:szCs w:val="21"/>
                <w:highlight w:val="none"/>
              </w:rPr>
            </w:pPr>
            <w:r>
              <w:rPr>
                <w:rFonts w:hint="eastAsia" w:ascii="宋体" w:hAnsi="宋体" w:cs="宋体"/>
                <w:szCs w:val="21"/>
                <w:highlight w:val="none"/>
              </w:rPr>
              <w:t>当参选单位的报价与基准价的比值每高一个百分点时在满分基础上扣0.5分，参选单位的报价与基准价的比值每低一个百分点时在满分基础上扣0.3分，扣到0分为止。</w:t>
            </w:r>
            <w:r>
              <w:rPr>
                <w:rFonts w:hint="eastAsia" w:ascii="宋体" w:hAnsi="宋体" w:cs="宋体"/>
                <w:bCs/>
                <w:szCs w:val="21"/>
                <w:highlight w:val="none"/>
                <w:lang w:val="zh-CN"/>
              </w:rPr>
              <w:t>报价得分保留小数点后两位。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676"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2</w:t>
            </w:r>
          </w:p>
        </w:tc>
        <w:tc>
          <w:tcPr>
            <w:tcW w:w="1809"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参选单位业绩</w:t>
            </w:r>
          </w:p>
        </w:tc>
        <w:tc>
          <w:tcPr>
            <w:tcW w:w="900"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15</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近二年（2022年-至今）有成功组织开展或通过水利工程标准化管理评价的相关业绩，在一项的基础上，每有一项得5分，本项最高得15分。</w:t>
            </w:r>
          </w:p>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注：业绩证明材料须提供①在建项目提供合同协议书或中标通知书②已完项目提供合同协议书或中标通知书或委托方出具的项目已完成证明。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676"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3</w:t>
            </w:r>
          </w:p>
        </w:tc>
        <w:tc>
          <w:tcPr>
            <w:tcW w:w="1809"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项目负责人业绩</w:t>
            </w:r>
          </w:p>
        </w:tc>
        <w:tc>
          <w:tcPr>
            <w:tcW w:w="900"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6</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近二年（2022年-至今）在有成功组织开展或通过水利工程标准化管理评价的相关业绩中担任过项目负责人的得2分，本项最高得6分。</w:t>
            </w:r>
          </w:p>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注：业绩证明材料须提供①在建项目提供合同协议书或中标通知书②已完项目提供合同协议书或中标通知书或委托方出具的项目已完成证明；上述证明材料如不能体现项目负责人，须补充提供委托方出具的相关证明材料，可与参选单位业绩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76"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4</w:t>
            </w:r>
          </w:p>
        </w:tc>
        <w:tc>
          <w:tcPr>
            <w:tcW w:w="1809"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人员配备</w:t>
            </w:r>
          </w:p>
        </w:tc>
        <w:tc>
          <w:tcPr>
            <w:tcW w:w="900"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14</w:t>
            </w:r>
          </w:p>
        </w:tc>
        <w:tc>
          <w:tcPr>
            <w:tcW w:w="6245" w:type="dxa"/>
            <w:vAlign w:val="center"/>
          </w:tcPr>
          <w:p>
            <w:pPr>
              <w:widowControl/>
              <w:jc w:val="left"/>
              <w:rPr>
                <w:rFonts w:eastAsia="等线"/>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76" w:type="dxa"/>
            <w:vAlign w:val="center"/>
          </w:tcPr>
          <w:p>
            <w:pPr>
              <w:widowControl/>
              <w:jc w:val="left"/>
              <w:rPr>
                <w:rFonts w:ascii="宋体" w:hAnsi="宋体" w:eastAsia="等线" w:cs="宋体"/>
                <w:color w:val="000000"/>
                <w:kern w:val="0"/>
                <w:szCs w:val="21"/>
                <w:highlight w:val="none"/>
              </w:rPr>
            </w:pPr>
            <w:r>
              <w:rPr>
                <w:rFonts w:hint="eastAsia" w:ascii="宋体" w:hAnsi="宋体" w:cs="宋体"/>
                <w:color w:val="000000"/>
                <w:kern w:val="0"/>
                <w:szCs w:val="21"/>
                <w:highlight w:val="none"/>
              </w:rPr>
              <w:t>4.1</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拟投入人员的专业、职称等（项目负责人除外）</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（1）专业人员配备齐全得3分，基本齐全得2分。（2）专业人员中的有中级及以上职称人员数量达到5人，得6分；其中每有一个高级职称人员加2分，本项最高得8分。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4.2</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组织管理</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组织分工明确、管理制度完善的得3分，组织分工较明确、管理制度较完善的得2分，一般的得1分，无此项内容的不得分。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6"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5</w:t>
            </w:r>
          </w:p>
        </w:tc>
        <w:tc>
          <w:tcPr>
            <w:tcW w:w="1809"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实施方案</w:t>
            </w:r>
          </w:p>
        </w:tc>
        <w:tc>
          <w:tcPr>
            <w:tcW w:w="900"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55</w:t>
            </w:r>
          </w:p>
        </w:tc>
        <w:tc>
          <w:tcPr>
            <w:tcW w:w="6245" w:type="dxa"/>
            <w:vAlign w:val="center"/>
          </w:tcPr>
          <w:p>
            <w:pPr>
              <w:widowControl/>
              <w:jc w:val="left"/>
              <w:rPr>
                <w:rFonts w:eastAsia="等线"/>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6" w:type="dxa"/>
            <w:vAlign w:val="center"/>
          </w:tcPr>
          <w:p>
            <w:pPr>
              <w:widowControl/>
              <w:jc w:val="left"/>
              <w:rPr>
                <w:rFonts w:ascii="宋体" w:hAnsi="宋体" w:eastAsia="等线" w:cs="宋体"/>
                <w:color w:val="000000"/>
                <w:kern w:val="0"/>
                <w:szCs w:val="21"/>
                <w:highlight w:val="none"/>
              </w:rPr>
            </w:pPr>
            <w:r>
              <w:rPr>
                <w:rFonts w:hint="eastAsia" w:ascii="宋体" w:hAnsi="宋体" w:cs="宋体"/>
                <w:color w:val="000000"/>
                <w:kern w:val="0"/>
                <w:szCs w:val="21"/>
                <w:highlight w:val="none"/>
              </w:rPr>
              <w:t>5.1</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内容完整性</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内容全面的得3分，内容较全面的得2分，一般的得1分，无此项内容的不得分。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5.2</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对项目目标、工作任务的理解</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对项目目标、工作任务等要求理解透彻的得6分，较好的得4分，一般的得2分，无此项内容的不得分。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5.3</w:t>
            </w:r>
          </w:p>
        </w:tc>
        <w:tc>
          <w:tcPr>
            <w:tcW w:w="1809" w:type="dxa"/>
            <w:vAlign w:val="center"/>
          </w:tcPr>
          <w:p>
            <w:pPr>
              <w:autoSpaceDE w:val="0"/>
              <w:autoSpaceDN w:val="0"/>
              <w:adjustRightInd w:val="0"/>
              <w:snapToGrid w:val="0"/>
              <w:spacing w:before="31" w:beforeLines="10"/>
              <w:jc w:val="center"/>
              <w:rPr>
                <w:rFonts w:ascii="宋体" w:hAnsi="宋体" w:cs="宋体"/>
                <w:szCs w:val="21"/>
                <w:highlight w:val="none"/>
              </w:rPr>
            </w:pPr>
            <w:r>
              <w:rPr>
                <w:rFonts w:hint="eastAsia" w:ascii="宋体" w:hAnsi="宋体" w:cs="宋体"/>
                <w:szCs w:val="21"/>
                <w:highlight w:val="none"/>
              </w:rPr>
              <w:t>项目组织机构</w:t>
            </w:r>
          </w:p>
          <w:p>
            <w:pPr>
              <w:widowControl/>
              <w:jc w:val="center"/>
              <w:rPr>
                <w:rFonts w:ascii="宋体" w:hAnsi="宋体" w:cs="宋体"/>
                <w:color w:val="000000"/>
                <w:kern w:val="0"/>
                <w:szCs w:val="21"/>
                <w:highlight w:val="none"/>
              </w:rPr>
            </w:pPr>
            <w:r>
              <w:rPr>
                <w:rFonts w:hint="eastAsia" w:ascii="宋体" w:hAnsi="宋体" w:cs="宋体"/>
                <w:szCs w:val="21"/>
                <w:highlight w:val="none"/>
              </w:rPr>
              <w:t>能力</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szCs w:val="21"/>
                <w:highlight w:val="none"/>
              </w:rPr>
              <w:t>实施方案系统完整、规范标准、服务重难点分析到位；人员配备合理、安排妥当。</w:t>
            </w:r>
            <w:r>
              <w:rPr>
                <w:rFonts w:hint="eastAsia" w:ascii="宋体" w:hAnsi="宋体" w:cs="宋体"/>
                <w:bCs/>
                <w:color w:val="000000"/>
                <w:spacing w:val="-6"/>
                <w:szCs w:val="21"/>
                <w:highlight w:val="none"/>
              </w:rPr>
              <w:t>优得10-8分，良得7-5分，一般得4-1分，</w:t>
            </w:r>
            <w:r>
              <w:rPr>
                <w:rFonts w:hint="eastAsia" w:ascii="宋体" w:hAnsi="宋体" w:cs="宋体"/>
                <w:color w:val="000000"/>
                <w:kern w:val="0"/>
                <w:szCs w:val="21"/>
                <w:highlight w:val="none"/>
              </w:rPr>
              <w:t>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5.4</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基础资料收集</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收集资料齐全、调查方式可行、收集保障完备、方式可行、人力保障充足，好的得5分，较好的得3分，一般的得1分，无此项内容的不得分。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5.5</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进度计划及保证措施</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计划针对性强、措施合理的得5分，计划针对性较强、措施较合理的得3分，计划针对性一般、措施基本合理的得1分，无此项内容的不得分。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5.6</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质量保证措施</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措施合理且有针对性的得6-5分，措施较合理、针对性较强的得4-3分，一般的得2-1分，无此项内容的不得分。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5.7</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对本项目工作重点与难点分析及对策</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对本项目工作重点与难点理解透彻、把握精准、对策针对性强的得10-8分，理解较透彻、把握较精准、对策针对性较强的得7-5分，理解把握基本正确、对策针对性一般的得4-3分，理解把握不到位、对策针对性差的得2-1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5.8</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交通工具配备及其他后勤保证措施</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合理、全面、有效5-3；分</w:t>
            </w:r>
          </w:p>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基本满足要求2-1分；</w:t>
            </w:r>
          </w:p>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76"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5.9</w:t>
            </w:r>
          </w:p>
        </w:tc>
        <w:tc>
          <w:tcPr>
            <w:tcW w:w="1809"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档案管理措施</w:t>
            </w:r>
          </w:p>
        </w:tc>
        <w:tc>
          <w:tcPr>
            <w:tcW w:w="900" w:type="dxa"/>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24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档案记录、保密等方面是否有管控体系和措施。根据管理措施的可行性、合理性进行综合评审。优得5分，良得4-3分，一般得2-1分，无此项内容的不得分。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85" w:type="dxa"/>
            <w:gridSpan w:val="2"/>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合计</w:t>
            </w:r>
          </w:p>
        </w:tc>
        <w:tc>
          <w:tcPr>
            <w:tcW w:w="900" w:type="dxa"/>
            <w:vAlign w:val="center"/>
          </w:tcPr>
          <w:p>
            <w:pPr>
              <w:widowControl/>
              <w:jc w:val="left"/>
              <w:rPr>
                <w:rFonts w:ascii="宋体" w:hAnsi="宋体" w:cs="宋体"/>
                <w:b/>
                <w:bCs/>
                <w:color w:val="000000"/>
                <w:kern w:val="0"/>
                <w:szCs w:val="21"/>
                <w:highlight w:val="none"/>
              </w:rPr>
            </w:pPr>
            <w:r>
              <w:rPr>
                <w:rFonts w:hint="eastAsia" w:ascii="宋体" w:hAnsi="宋体" w:cs="宋体"/>
                <w:b/>
                <w:bCs/>
                <w:color w:val="000000"/>
                <w:kern w:val="0"/>
                <w:szCs w:val="21"/>
                <w:highlight w:val="none"/>
              </w:rPr>
              <w:t>100</w:t>
            </w:r>
          </w:p>
        </w:tc>
        <w:tc>
          <w:tcPr>
            <w:tcW w:w="6245" w:type="dxa"/>
            <w:vAlign w:val="center"/>
          </w:tcPr>
          <w:p>
            <w:pPr>
              <w:widowControl/>
              <w:jc w:val="left"/>
              <w:rPr>
                <w:rFonts w:eastAsia="等线"/>
                <w:color w:val="000000"/>
                <w:kern w:val="0"/>
                <w:szCs w:val="21"/>
                <w:highlight w:val="none"/>
              </w:rPr>
            </w:pPr>
            <w:r>
              <w:rPr>
                <w:rFonts w:eastAsia="等线"/>
                <w:color w:val="000000"/>
                <w:kern w:val="0"/>
                <w:szCs w:val="21"/>
                <w:highlight w:val="none"/>
              </w:rPr>
              <w:t>　</w:t>
            </w:r>
          </w:p>
        </w:tc>
      </w:tr>
    </w:tbl>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pStyle w:val="4"/>
        <w:spacing w:line="240" w:lineRule="auto"/>
        <w:rPr>
          <w:rFonts w:ascii="宋体" w:hAnsi="宋体" w:cs="宋体"/>
          <w:szCs w:val="24"/>
          <w:highlight w:val="none"/>
        </w:rPr>
      </w:pPr>
      <w:bookmarkStart w:id="61" w:name="_Toc22337"/>
      <w:r>
        <w:rPr>
          <w:rFonts w:hint="eastAsia" w:ascii="宋体" w:hAnsi="宋体" w:cs="宋体"/>
          <w:szCs w:val="24"/>
          <w:highlight w:val="none"/>
        </w:rPr>
        <w:t>1、评审方法</w:t>
      </w:r>
      <w:bookmarkEnd w:id="61"/>
    </w:p>
    <w:p>
      <w:pPr>
        <w:ind w:firstLine="480" w:firstLineChars="200"/>
        <w:rPr>
          <w:rFonts w:ascii="宋体" w:hAnsi="宋体" w:cs="宋体"/>
          <w:sz w:val="24"/>
          <w:highlight w:val="none"/>
        </w:rPr>
      </w:pPr>
      <w:r>
        <w:rPr>
          <w:rFonts w:hint="eastAsia" w:ascii="宋体" w:hAnsi="宋体" w:cs="宋体"/>
          <w:sz w:val="24"/>
          <w:highlight w:val="none"/>
        </w:rPr>
        <w:t>本次评审采用综合评估法。评审委员会对满足比选文件实质性要求的参选文件，按照本章第2.2款规定的评分标准进行打分，并按得分由高到低顺序推荐候选人，或根据建设单位授权直接确定中选人，但报价低于其成本的除外。综合评分相等时，以报价低的优先；报价也相等的，由建设单位自行确定。</w:t>
      </w:r>
    </w:p>
    <w:p>
      <w:pPr>
        <w:pStyle w:val="4"/>
        <w:spacing w:line="240" w:lineRule="auto"/>
        <w:rPr>
          <w:rFonts w:ascii="宋体" w:hAnsi="宋体" w:cs="宋体"/>
          <w:szCs w:val="24"/>
          <w:highlight w:val="none"/>
        </w:rPr>
      </w:pPr>
      <w:bookmarkStart w:id="62" w:name="_Toc7926"/>
      <w:r>
        <w:rPr>
          <w:rFonts w:hint="eastAsia" w:ascii="宋体" w:hAnsi="宋体" w:cs="宋体"/>
          <w:szCs w:val="24"/>
          <w:highlight w:val="none"/>
        </w:rPr>
        <w:t>2、评审标准</w:t>
      </w:r>
      <w:bookmarkEnd w:id="62"/>
    </w:p>
    <w:p>
      <w:pPr>
        <w:pStyle w:val="5"/>
        <w:spacing w:line="240" w:lineRule="auto"/>
        <w:rPr>
          <w:rFonts w:ascii="宋体" w:hAnsi="宋体" w:cs="宋体"/>
          <w:sz w:val="24"/>
          <w:szCs w:val="24"/>
          <w:highlight w:val="none"/>
        </w:rPr>
      </w:pPr>
      <w:r>
        <w:rPr>
          <w:rFonts w:hint="eastAsia" w:ascii="宋体" w:hAnsi="宋体" w:cs="宋体"/>
          <w:sz w:val="24"/>
          <w:szCs w:val="24"/>
          <w:highlight w:val="none"/>
        </w:rPr>
        <w:t>2.1 初步评审标准</w:t>
      </w:r>
    </w:p>
    <w:p>
      <w:pPr>
        <w:ind w:firstLine="480" w:firstLineChars="200"/>
        <w:rPr>
          <w:rFonts w:ascii="宋体" w:hAnsi="宋体" w:cs="宋体"/>
          <w:sz w:val="24"/>
          <w:highlight w:val="none"/>
        </w:rPr>
      </w:pPr>
      <w:r>
        <w:rPr>
          <w:rFonts w:hint="eastAsia" w:ascii="宋体" w:hAnsi="宋体" w:cs="宋体"/>
          <w:sz w:val="24"/>
          <w:highlight w:val="none"/>
        </w:rPr>
        <w:t>2.1.1 形式评审标准：见评审办法前附表。</w:t>
      </w:r>
    </w:p>
    <w:p>
      <w:pPr>
        <w:ind w:firstLine="480" w:firstLineChars="200"/>
        <w:rPr>
          <w:rFonts w:ascii="宋体" w:hAnsi="宋体" w:cs="宋体"/>
          <w:sz w:val="24"/>
          <w:highlight w:val="none"/>
        </w:rPr>
      </w:pPr>
      <w:r>
        <w:rPr>
          <w:rFonts w:hint="eastAsia" w:ascii="宋体" w:hAnsi="宋体" w:cs="宋体"/>
          <w:sz w:val="24"/>
          <w:highlight w:val="none"/>
        </w:rPr>
        <w:t>2.1.2 资格评审标准：见评审办法前附表</w:t>
      </w:r>
    </w:p>
    <w:p>
      <w:pPr>
        <w:ind w:firstLine="480" w:firstLineChars="200"/>
        <w:rPr>
          <w:rFonts w:ascii="宋体" w:hAnsi="宋体" w:cs="宋体"/>
          <w:sz w:val="24"/>
          <w:highlight w:val="none"/>
        </w:rPr>
      </w:pPr>
      <w:r>
        <w:rPr>
          <w:rFonts w:hint="eastAsia" w:ascii="宋体" w:hAnsi="宋体" w:cs="宋体"/>
          <w:sz w:val="24"/>
          <w:highlight w:val="none"/>
        </w:rPr>
        <w:t>2.1.3 响应性评审标准：见评审办法前附表。</w:t>
      </w:r>
    </w:p>
    <w:p>
      <w:pPr>
        <w:pStyle w:val="5"/>
        <w:spacing w:line="240" w:lineRule="auto"/>
        <w:rPr>
          <w:rFonts w:ascii="宋体" w:hAnsi="宋体" w:cs="宋体"/>
          <w:sz w:val="24"/>
          <w:szCs w:val="24"/>
          <w:highlight w:val="none"/>
        </w:rPr>
      </w:pPr>
      <w:r>
        <w:rPr>
          <w:rFonts w:hint="eastAsia" w:ascii="宋体" w:hAnsi="宋体" w:cs="宋体"/>
          <w:sz w:val="24"/>
          <w:szCs w:val="24"/>
          <w:highlight w:val="none"/>
        </w:rPr>
        <w:t>2.2 分值构成与评分标准</w:t>
      </w:r>
    </w:p>
    <w:p>
      <w:pPr>
        <w:ind w:firstLine="480" w:firstLineChars="200"/>
        <w:rPr>
          <w:rFonts w:ascii="宋体" w:hAnsi="宋体" w:cs="宋体"/>
          <w:sz w:val="24"/>
          <w:highlight w:val="none"/>
        </w:rPr>
      </w:pPr>
      <w:r>
        <w:rPr>
          <w:rFonts w:hint="eastAsia" w:ascii="宋体" w:hAnsi="宋体" w:cs="宋体"/>
          <w:sz w:val="24"/>
          <w:highlight w:val="none"/>
        </w:rPr>
        <w:t>2.2.1 分值构成</w:t>
      </w:r>
    </w:p>
    <w:p>
      <w:pPr>
        <w:ind w:firstLine="480" w:firstLineChars="200"/>
        <w:rPr>
          <w:rFonts w:ascii="宋体" w:hAnsi="宋体" w:cs="宋体"/>
          <w:sz w:val="24"/>
          <w:highlight w:val="none"/>
        </w:rPr>
      </w:pPr>
      <w:r>
        <w:rPr>
          <w:rFonts w:hint="eastAsia" w:ascii="宋体" w:hAnsi="宋体" w:cs="宋体"/>
          <w:sz w:val="24"/>
          <w:highlight w:val="none"/>
        </w:rPr>
        <w:t>（l）实施方案：见评审办法前附表；</w:t>
      </w:r>
    </w:p>
    <w:p>
      <w:pPr>
        <w:ind w:firstLine="480" w:firstLineChars="200"/>
        <w:rPr>
          <w:rFonts w:ascii="宋体" w:hAnsi="宋体" w:cs="宋体"/>
          <w:sz w:val="24"/>
          <w:highlight w:val="none"/>
        </w:rPr>
      </w:pPr>
      <w:r>
        <w:rPr>
          <w:rFonts w:hint="eastAsia" w:ascii="宋体" w:hAnsi="宋体" w:cs="宋体"/>
          <w:sz w:val="24"/>
          <w:highlight w:val="none"/>
        </w:rPr>
        <w:t>（2）参选单位业绩：见评审办法前附表；</w:t>
      </w:r>
    </w:p>
    <w:p>
      <w:pPr>
        <w:ind w:firstLine="480" w:firstLineChars="200"/>
        <w:rPr>
          <w:rFonts w:ascii="宋体" w:hAnsi="宋体" w:cs="宋体"/>
          <w:sz w:val="24"/>
          <w:highlight w:val="none"/>
        </w:rPr>
      </w:pPr>
      <w:r>
        <w:rPr>
          <w:rFonts w:hint="eastAsia" w:ascii="宋体" w:hAnsi="宋体" w:cs="宋体"/>
          <w:sz w:val="24"/>
          <w:highlight w:val="none"/>
        </w:rPr>
        <w:t>（3）项目负责人业绩：见评审办法前附表</w:t>
      </w:r>
    </w:p>
    <w:p>
      <w:pPr>
        <w:ind w:firstLine="480" w:firstLineChars="200"/>
        <w:rPr>
          <w:rFonts w:ascii="宋体" w:hAnsi="宋体" w:cs="宋体"/>
          <w:sz w:val="24"/>
          <w:highlight w:val="none"/>
        </w:rPr>
      </w:pPr>
      <w:r>
        <w:rPr>
          <w:rFonts w:hint="eastAsia" w:ascii="宋体" w:hAnsi="宋体" w:cs="宋体"/>
          <w:sz w:val="24"/>
          <w:highlight w:val="none"/>
        </w:rPr>
        <w:t>（4）参选报价：见评审办法前附表；</w:t>
      </w:r>
    </w:p>
    <w:p>
      <w:pPr>
        <w:ind w:firstLine="480" w:firstLineChars="200"/>
        <w:rPr>
          <w:rFonts w:ascii="宋体" w:hAnsi="宋体" w:cs="宋体"/>
          <w:sz w:val="24"/>
          <w:highlight w:val="none"/>
        </w:rPr>
      </w:pPr>
      <w:r>
        <w:rPr>
          <w:rFonts w:hint="eastAsia" w:ascii="宋体" w:hAnsi="宋体" w:cs="宋体"/>
          <w:sz w:val="24"/>
          <w:highlight w:val="none"/>
        </w:rPr>
        <w:t>（5）人员配备：见评审办法前附表。</w:t>
      </w:r>
    </w:p>
    <w:p>
      <w:pPr>
        <w:ind w:firstLine="480" w:firstLineChars="200"/>
        <w:rPr>
          <w:rFonts w:ascii="宋体" w:hAnsi="宋体" w:cs="宋体"/>
          <w:sz w:val="24"/>
          <w:highlight w:val="none"/>
        </w:rPr>
      </w:pPr>
      <w:r>
        <w:rPr>
          <w:rFonts w:hint="eastAsia" w:ascii="宋体" w:hAnsi="宋体" w:cs="宋体"/>
          <w:sz w:val="24"/>
          <w:highlight w:val="none"/>
        </w:rPr>
        <w:t>2.2.2 评审基准价计算</w:t>
      </w:r>
    </w:p>
    <w:p>
      <w:pPr>
        <w:ind w:firstLine="480" w:firstLineChars="200"/>
        <w:rPr>
          <w:rFonts w:ascii="宋体" w:hAnsi="宋体" w:cs="宋体"/>
          <w:sz w:val="24"/>
          <w:highlight w:val="none"/>
        </w:rPr>
      </w:pPr>
      <w:r>
        <w:rPr>
          <w:rFonts w:hint="eastAsia" w:ascii="宋体" w:hAnsi="宋体" w:cs="宋体"/>
          <w:sz w:val="24"/>
          <w:highlight w:val="none"/>
        </w:rPr>
        <w:t>基准价计算方法：见评审办法前附表。</w:t>
      </w:r>
    </w:p>
    <w:p>
      <w:pPr>
        <w:ind w:firstLine="480" w:firstLineChars="200"/>
        <w:rPr>
          <w:rFonts w:ascii="宋体" w:hAnsi="宋体" w:cs="宋体"/>
          <w:sz w:val="24"/>
          <w:highlight w:val="none"/>
        </w:rPr>
      </w:pPr>
      <w:r>
        <w:rPr>
          <w:rFonts w:hint="eastAsia" w:ascii="宋体" w:hAnsi="宋体" w:cs="宋体"/>
          <w:sz w:val="24"/>
          <w:highlight w:val="none"/>
        </w:rPr>
        <w:t>2.2.3 参选报价的偏差率计算</w:t>
      </w:r>
    </w:p>
    <w:p>
      <w:pPr>
        <w:ind w:firstLine="480" w:firstLineChars="200"/>
        <w:rPr>
          <w:rFonts w:ascii="宋体" w:hAnsi="宋体" w:cs="宋体"/>
          <w:sz w:val="24"/>
          <w:highlight w:val="none"/>
        </w:rPr>
      </w:pPr>
      <w:r>
        <w:rPr>
          <w:rFonts w:hint="eastAsia" w:ascii="宋体" w:hAnsi="宋体" w:cs="宋体"/>
          <w:sz w:val="24"/>
          <w:highlight w:val="none"/>
        </w:rPr>
        <w:t>参选报价的偏差率计算公式：见评审办法前附表。</w:t>
      </w:r>
    </w:p>
    <w:p>
      <w:pPr>
        <w:ind w:firstLine="480" w:firstLineChars="200"/>
        <w:rPr>
          <w:rFonts w:ascii="宋体" w:hAnsi="宋体" w:cs="宋体"/>
          <w:sz w:val="24"/>
          <w:highlight w:val="none"/>
        </w:rPr>
      </w:pPr>
      <w:r>
        <w:rPr>
          <w:rFonts w:hint="eastAsia" w:ascii="宋体" w:hAnsi="宋体" w:cs="宋体"/>
          <w:sz w:val="24"/>
          <w:highlight w:val="none"/>
        </w:rPr>
        <w:t>2.2.4 评分标准</w:t>
      </w:r>
    </w:p>
    <w:p>
      <w:pPr>
        <w:ind w:firstLine="480" w:firstLineChars="200"/>
        <w:rPr>
          <w:rFonts w:ascii="宋体" w:hAnsi="宋体" w:cs="宋体"/>
          <w:sz w:val="24"/>
          <w:highlight w:val="none"/>
        </w:rPr>
      </w:pPr>
      <w:r>
        <w:rPr>
          <w:rFonts w:hint="eastAsia" w:ascii="宋体" w:hAnsi="宋体" w:cs="宋体"/>
          <w:sz w:val="24"/>
          <w:highlight w:val="none"/>
        </w:rPr>
        <w:t>（1）实施方案评分标准：见评审办法前附表；</w:t>
      </w:r>
    </w:p>
    <w:p>
      <w:pPr>
        <w:ind w:firstLine="480" w:firstLineChars="200"/>
        <w:rPr>
          <w:rFonts w:ascii="宋体" w:hAnsi="宋体" w:cs="宋体"/>
          <w:sz w:val="24"/>
          <w:highlight w:val="none"/>
        </w:rPr>
      </w:pPr>
      <w:r>
        <w:rPr>
          <w:rFonts w:hint="eastAsia" w:ascii="宋体" w:hAnsi="宋体" w:cs="宋体"/>
          <w:sz w:val="24"/>
          <w:highlight w:val="none"/>
        </w:rPr>
        <w:t>（2）参选单位业绩评分标准：见评审办法前附表；</w:t>
      </w:r>
    </w:p>
    <w:p>
      <w:pPr>
        <w:ind w:firstLine="480" w:firstLineChars="200"/>
        <w:rPr>
          <w:rFonts w:ascii="宋体" w:hAnsi="宋体" w:cs="宋体"/>
          <w:sz w:val="24"/>
          <w:highlight w:val="none"/>
        </w:rPr>
      </w:pPr>
      <w:r>
        <w:rPr>
          <w:rFonts w:hint="eastAsia" w:ascii="宋体" w:hAnsi="宋体" w:cs="宋体"/>
          <w:sz w:val="24"/>
          <w:highlight w:val="none"/>
        </w:rPr>
        <w:t>（3）项目负责人业绩评分标准：见评审办法前附表；</w:t>
      </w:r>
    </w:p>
    <w:p>
      <w:pPr>
        <w:ind w:firstLine="480" w:firstLineChars="200"/>
        <w:rPr>
          <w:rFonts w:ascii="宋体" w:hAnsi="宋体" w:cs="宋体"/>
          <w:sz w:val="24"/>
          <w:highlight w:val="none"/>
        </w:rPr>
      </w:pPr>
      <w:r>
        <w:rPr>
          <w:rFonts w:hint="eastAsia" w:ascii="宋体" w:hAnsi="宋体" w:cs="宋体"/>
          <w:sz w:val="24"/>
          <w:highlight w:val="none"/>
        </w:rPr>
        <w:t>（4）参选报价评分标准：见评审办法前附表；</w:t>
      </w:r>
    </w:p>
    <w:p>
      <w:pPr>
        <w:ind w:firstLine="480" w:firstLineChars="200"/>
        <w:rPr>
          <w:rFonts w:ascii="宋体" w:hAnsi="宋体" w:cs="宋体"/>
          <w:sz w:val="24"/>
          <w:highlight w:val="none"/>
        </w:rPr>
      </w:pPr>
      <w:r>
        <w:rPr>
          <w:rFonts w:hint="eastAsia" w:ascii="宋体" w:hAnsi="宋体" w:cs="宋体"/>
          <w:sz w:val="24"/>
          <w:highlight w:val="none"/>
        </w:rPr>
        <w:t>（5）人员配备评分标准：见评审办法前附表。</w:t>
      </w:r>
    </w:p>
    <w:p>
      <w:pPr>
        <w:pStyle w:val="4"/>
        <w:spacing w:line="240" w:lineRule="auto"/>
        <w:rPr>
          <w:rFonts w:ascii="宋体" w:hAnsi="宋体" w:cs="宋体"/>
          <w:szCs w:val="24"/>
          <w:highlight w:val="none"/>
        </w:rPr>
      </w:pPr>
      <w:bookmarkStart w:id="63" w:name="_Toc29263"/>
      <w:r>
        <w:rPr>
          <w:rFonts w:hint="eastAsia" w:ascii="宋体" w:hAnsi="宋体" w:cs="宋体"/>
          <w:szCs w:val="24"/>
          <w:highlight w:val="none"/>
        </w:rPr>
        <w:t>3、评审程序</w:t>
      </w:r>
      <w:bookmarkEnd w:id="63"/>
    </w:p>
    <w:p>
      <w:pPr>
        <w:pStyle w:val="5"/>
        <w:spacing w:line="240" w:lineRule="auto"/>
        <w:rPr>
          <w:rFonts w:ascii="宋体" w:hAnsi="宋体" w:cs="宋体"/>
          <w:sz w:val="24"/>
          <w:szCs w:val="24"/>
          <w:highlight w:val="none"/>
        </w:rPr>
      </w:pPr>
      <w:r>
        <w:rPr>
          <w:rFonts w:hint="eastAsia" w:ascii="宋体" w:hAnsi="宋体" w:cs="宋体"/>
          <w:sz w:val="24"/>
          <w:szCs w:val="24"/>
          <w:highlight w:val="none"/>
        </w:rPr>
        <w:t>3.1 初步评审</w:t>
      </w:r>
    </w:p>
    <w:p>
      <w:pPr>
        <w:ind w:firstLine="480" w:firstLineChars="200"/>
        <w:rPr>
          <w:rFonts w:ascii="宋体" w:hAnsi="宋体" w:cs="宋体"/>
          <w:sz w:val="24"/>
          <w:highlight w:val="none"/>
        </w:rPr>
      </w:pPr>
      <w:r>
        <w:rPr>
          <w:rFonts w:hint="eastAsia" w:ascii="宋体" w:hAnsi="宋体" w:cs="宋体"/>
          <w:sz w:val="24"/>
          <w:highlight w:val="none"/>
        </w:rPr>
        <w:t>3.1.1 评审委员会可以要求参选单位提交第二章“比选须知”第3.4.1项至第3.4.4 项规定的有关证明和证件，以便核验。评审委员会依据本章第2.1 款规定的标准对参选文件进行初步评审。有一项不符合评审标准的，作废标处理。</w:t>
      </w:r>
    </w:p>
    <w:p>
      <w:pPr>
        <w:ind w:firstLine="480" w:firstLineChars="200"/>
        <w:rPr>
          <w:rFonts w:ascii="宋体" w:hAnsi="宋体" w:cs="宋体"/>
          <w:sz w:val="24"/>
          <w:highlight w:val="none"/>
        </w:rPr>
      </w:pPr>
      <w:r>
        <w:rPr>
          <w:rFonts w:hint="eastAsia" w:ascii="宋体" w:hAnsi="宋体" w:cs="宋体"/>
          <w:sz w:val="24"/>
          <w:highlight w:val="none"/>
        </w:rPr>
        <w:t>3.1.2 参选单位有以下情形之一的，其参选资格按作废处理：</w:t>
      </w:r>
    </w:p>
    <w:p>
      <w:pPr>
        <w:ind w:firstLine="480" w:firstLineChars="200"/>
        <w:rPr>
          <w:rFonts w:ascii="宋体" w:hAnsi="宋体" w:cs="宋体"/>
          <w:sz w:val="24"/>
          <w:highlight w:val="none"/>
        </w:rPr>
      </w:pPr>
      <w:r>
        <w:rPr>
          <w:rFonts w:hint="eastAsia" w:ascii="宋体" w:hAnsi="宋体" w:cs="宋体"/>
          <w:sz w:val="24"/>
          <w:highlight w:val="none"/>
        </w:rPr>
        <w:t>（1）第二章“比选须知”第1.4.3 项规定的任何一种情形的：</w:t>
      </w:r>
    </w:p>
    <w:p>
      <w:pPr>
        <w:ind w:firstLine="480" w:firstLineChars="200"/>
        <w:rPr>
          <w:rFonts w:ascii="宋体" w:hAnsi="宋体" w:cs="宋体"/>
          <w:sz w:val="24"/>
          <w:highlight w:val="none"/>
        </w:rPr>
      </w:pPr>
      <w:r>
        <w:rPr>
          <w:rFonts w:hint="eastAsia" w:ascii="宋体" w:hAnsi="宋体" w:cs="宋体"/>
          <w:sz w:val="24"/>
          <w:highlight w:val="none"/>
        </w:rPr>
        <w:t>（2）串通参加比选或弄虚作假或有其他违法行为的；</w:t>
      </w:r>
    </w:p>
    <w:p>
      <w:pPr>
        <w:ind w:firstLine="480" w:firstLineChars="200"/>
        <w:rPr>
          <w:rFonts w:ascii="宋体" w:hAnsi="宋体" w:cs="宋体"/>
          <w:sz w:val="24"/>
          <w:highlight w:val="none"/>
        </w:rPr>
      </w:pPr>
      <w:r>
        <w:rPr>
          <w:rFonts w:hint="eastAsia" w:ascii="宋体" w:hAnsi="宋体" w:cs="宋体"/>
          <w:sz w:val="24"/>
          <w:highlight w:val="none"/>
        </w:rPr>
        <w:t>（3）不按评审委员会要求澄清、说明或补正的。</w:t>
      </w:r>
    </w:p>
    <w:p>
      <w:pPr>
        <w:ind w:firstLine="480" w:firstLineChars="200"/>
        <w:rPr>
          <w:rFonts w:ascii="宋体" w:hAnsi="宋体" w:cs="宋体"/>
          <w:sz w:val="24"/>
          <w:highlight w:val="none"/>
        </w:rPr>
      </w:pPr>
      <w:r>
        <w:rPr>
          <w:rFonts w:hint="eastAsia" w:ascii="宋体" w:hAnsi="宋体" w:cs="宋体"/>
          <w:sz w:val="24"/>
          <w:highlight w:val="none"/>
        </w:rPr>
        <w:t>3.1.3 参选报价有算术错误的，评审委员会按以下原则对参选报价进行修正，修正的价格经参选单位书面确认后具有约束力。参选单位不接受修正价格的，按作废标处理。</w:t>
      </w:r>
    </w:p>
    <w:p>
      <w:pPr>
        <w:ind w:firstLine="480" w:firstLineChars="200"/>
        <w:rPr>
          <w:rFonts w:ascii="宋体" w:hAnsi="宋体" w:cs="宋体"/>
          <w:sz w:val="24"/>
          <w:highlight w:val="none"/>
        </w:rPr>
      </w:pPr>
      <w:r>
        <w:rPr>
          <w:rFonts w:hint="eastAsia" w:ascii="宋体" w:hAnsi="宋体" w:cs="宋体"/>
          <w:sz w:val="24"/>
          <w:highlight w:val="none"/>
        </w:rPr>
        <w:t>（1）参选文件中的大写金额与小写金额不一致的，以大写金额为准；</w:t>
      </w:r>
    </w:p>
    <w:p>
      <w:pPr>
        <w:ind w:firstLine="480" w:firstLineChars="200"/>
        <w:rPr>
          <w:rFonts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pPr>
        <w:pStyle w:val="5"/>
        <w:spacing w:line="240" w:lineRule="auto"/>
        <w:rPr>
          <w:rFonts w:ascii="宋体" w:hAnsi="宋体" w:cs="宋体"/>
          <w:sz w:val="24"/>
          <w:szCs w:val="24"/>
          <w:highlight w:val="none"/>
        </w:rPr>
      </w:pPr>
      <w:r>
        <w:rPr>
          <w:rFonts w:hint="eastAsia" w:ascii="宋体" w:hAnsi="宋体" w:cs="宋体"/>
          <w:sz w:val="24"/>
          <w:szCs w:val="24"/>
          <w:highlight w:val="none"/>
        </w:rPr>
        <w:t>3.2 详细评审</w:t>
      </w:r>
    </w:p>
    <w:p>
      <w:pPr>
        <w:ind w:firstLine="480" w:firstLineChars="200"/>
        <w:rPr>
          <w:rFonts w:ascii="宋体" w:hAnsi="宋体" w:cs="宋体"/>
          <w:sz w:val="24"/>
          <w:highlight w:val="none"/>
        </w:rPr>
      </w:pPr>
      <w:r>
        <w:rPr>
          <w:rFonts w:hint="eastAsia" w:ascii="宋体" w:hAnsi="宋体" w:cs="宋体"/>
          <w:sz w:val="24"/>
          <w:highlight w:val="none"/>
        </w:rPr>
        <w:t>3.2.1 评审委员会按本章第2.2 款规定的量化因素和分值进行打分，并计算出综合评估得分。</w:t>
      </w:r>
    </w:p>
    <w:p>
      <w:pPr>
        <w:ind w:firstLine="480" w:firstLineChars="200"/>
        <w:rPr>
          <w:rFonts w:ascii="宋体" w:hAnsi="宋体" w:cs="宋体"/>
          <w:sz w:val="24"/>
          <w:highlight w:val="none"/>
        </w:rPr>
      </w:pPr>
      <w:r>
        <w:rPr>
          <w:rFonts w:hint="eastAsia" w:ascii="宋体" w:hAnsi="宋体" w:cs="宋体"/>
          <w:sz w:val="24"/>
          <w:highlight w:val="none"/>
        </w:rPr>
        <w:t>（1）按本章表3-2第5款规定的评审因素和分值对实施方案计算出得分A；</w:t>
      </w:r>
    </w:p>
    <w:p>
      <w:pPr>
        <w:ind w:firstLine="480" w:firstLineChars="200"/>
        <w:rPr>
          <w:rFonts w:ascii="宋体" w:hAnsi="宋体" w:cs="宋体"/>
          <w:sz w:val="24"/>
          <w:highlight w:val="none"/>
        </w:rPr>
      </w:pPr>
      <w:r>
        <w:rPr>
          <w:rFonts w:hint="eastAsia" w:ascii="宋体" w:hAnsi="宋体" w:cs="宋体"/>
          <w:sz w:val="24"/>
          <w:highlight w:val="none"/>
        </w:rPr>
        <w:t>（2）按本章表3-2第2款规定的评审因素和分值对参选单位业绩计算出得分B；</w:t>
      </w:r>
    </w:p>
    <w:p>
      <w:pPr>
        <w:ind w:firstLine="480" w:firstLineChars="200"/>
        <w:rPr>
          <w:rFonts w:ascii="宋体" w:hAnsi="宋体" w:cs="宋体"/>
          <w:sz w:val="24"/>
          <w:highlight w:val="none"/>
        </w:rPr>
      </w:pPr>
      <w:r>
        <w:rPr>
          <w:rFonts w:hint="eastAsia" w:ascii="宋体" w:hAnsi="宋体" w:cs="宋体"/>
          <w:sz w:val="24"/>
          <w:highlight w:val="none"/>
        </w:rPr>
        <w:t>（3）按本章表3-2第4款规定的评审因素和分值对项目负责人业绩计算出得分C；</w:t>
      </w:r>
    </w:p>
    <w:p>
      <w:pPr>
        <w:ind w:firstLine="480" w:firstLineChars="200"/>
        <w:rPr>
          <w:rFonts w:ascii="宋体" w:hAnsi="宋体" w:cs="宋体"/>
          <w:sz w:val="24"/>
          <w:highlight w:val="none"/>
        </w:rPr>
      </w:pPr>
      <w:r>
        <w:rPr>
          <w:rFonts w:hint="eastAsia" w:ascii="宋体" w:hAnsi="宋体" w:cs="宋体"/>
          <w:sz w:val="24"/>
          <w:highlight w:val="none"/>
        </w:rPr>
        <w:t>（4）按本章表3-2第1款规定的评审因素和分值对参选报价计算出得分D；</w:t>
      </w:r>
    </w:p>
    <w:p>
      <w:pPr>
        <w:ind w:firstLine="480" w:firstLineChars="200"/>
        <w:rPr>
          <w:rFonts w:ascii="宋体" w:hAnsi="宋体" w:cs="宋体"/>
          <w:sz w:val="24"/>
          <w:highlight w:val="none"/>
        </w:rPr>
      </w:pPr>
      <w:r>
        <w:rPr>
          <w:rFonts w:hint="eastAsia" w:ascii="宋体" w:hAnsi="宋体" w:cs="宋体"/>
          <w:sz w:val="24"/>
          <w:highlight w:val="none"/>
        </w:rPr>
        <w:t>（5）按本章表3-2第3款规定的评审因素和分值对人员配备计算出得分E。</w:t>
      </w:r>
    </w:p>
    <w:p>
      <w:pPr>
        <w:ind w:firstLine="480" w:firstLineChars="200"/>
        <w:rPr>
          <w:rFonts w:ascii="宋体" w:hAnsi="宋体" w:cs="宋体"/>
          <w:sz w:val="24"/>
          <w:highlight w:val="none"/>
        </w:rPr>
      </w:pPr>
      <w:r>
        <w:rPr>
          <w:rFonts w:hint="eastAsia" w:ascii="宋体" w:hAnsi="宋体" w:cs="宋体"/>
          <w:sz w:val="24"/>
          <w:highlight w:val="none"/>
        </w:rPr>
        <w:t>3.2.2 评分分值计算保留小数点后两位，小数点后第三位“四舍五入”。</w:t>
      </w:r>
    </w:p>
    <w:p>
      <w:pPr>
        <w:ind w:firstLine="480" w:firstLineChars="200"/>
        <w:rPr>
          <w:rFonts w:ascii="宋体" w:hAnsi="宋体" w:cs="宋体"/>
          <w:sz w:val="24"/>
          <w:highlight w:val="none"/>
        </w:rPr>
      </w:pPr>
      <w:r>
        <w:rPr>
          <w:rFonts w:hint="eastAsia" w:ascii="宋体" w:hAnsi="宋体" w:cs="宋体"/>
          <w:sz w:val="24"/>
          <w:highlight w:val="none"/>
        </w:rPr>
        <w:t>3.2.3 参选单位得分＝A十B十C十D十E。</w:t>
      </w:r>
    </w:p>
    <w:p>
      <w:pPr>
        <w:ind w:firstLine="480" w:firstLineChars="200"/>
        <w:rPr>
          <w:rFonts w:ascii="宋体" w:hAnsi="宋体" w:cs="宋体"/>
          <w:sz w:val="24"/>
          <w:highlight w:val="none"/>
        </w:rPr>
      </w:pPr>
      <w:r>
        <w:rPr>
          <w:rFonts w:hint="eastAsia" w:ascii="宋体" w:hAnsi="宋体" w:cs="宋体"/>
          <w:sz w:val="24"/>
          <w:highlight w:val="none"/>
        </w:rPr>
        <w:t>3.2.4 评审委员会发现参选单位的报价明显低于其他报价，或者在设有标底时明显低于标底，使得其报价可能低于其个别成本的，应当要求该参选单位作出书面说明并提供相应的证明材料。参选单位不能合理说明或者不能提供相应证明材料的，由评审委员会认定该参选单位以低于成本报价竞标，其作废标处理。</w:t>
      </w:r>
    </w:p>
    <w:p>
      <w:pPr>
        <w:pStyle w:val="5"/>
        <w:spacing w:line="240" w:lineRule="auto"/>
        <w:rPr>
          <w:rFonts w:ascii="宋体" w:hAnsi="宋体" w:cs="宋体"/>
          <w:sz w:val="24"/>
          <w:szCs w:val="24"/>
          <w:highlight w:val="none"/>
        </w:rPr>
      </w:pPr>
      <w:r>
        <w:rPr>
          <w:rFonts w:hint="eastAsia" w:ascii="宋体" w:hAnsi="宋体" w:cs="宋体"/>
          <w:sz w:val="24"/>
          <w:szCs w:val="24"/>
          <w:highlight w:val="none"/>
        </w:rPr>
        <w:t>3.3 参选文件的澄清和补正</w:t>
      </w:r>
    </w:p>
    <w:p>
      <w:pPr>
        <w:ind w:firstLine="480" w:firstLineChars="200"/>
        <w:rPr>
          <w:rFonts w:ascii="宋体" w:hAnsi="宋体" w:cs="宋体"/>
          <w:sz w:val="24"/>
          <w:highlight w:val="none"/>
        </w:rPr>
      </w:pPr>
      <w:r>
        <w:rPr>
          <w:rFonts w:hint="eastAsia" w:ascii="宋体" w:hAnsi="宋体" w:cs="宋体"/>
          <w:sz w:val="24"/>
          <w:highlight w:val="none"/>
        </w:rPr>
        <w:t>3.3.1 在评审过程中，评审委员会可以书面形式要求参选单位对所提交参选文件中不明确的内容进行书面澄清或说明，或者对细微偏差进行补正。评审委员会不接受参选单位主动提出的澄清、说明或补正。</w:t>
      </w:r>
    </w:p>
    <w:p>
      <w:pPr>
        <w:ind w:firstLine="480" w:firstLineChars="200"/>
        <w:rPr>
          <w:rFonts w:ascii="宋体" w:hAnsi="宋体" w:cs="宋体"/>
          <w:sz w:val="24"/>
          <w:highlight w:val="none"/>
        </w:rPr>
      </w:pPr>
      <w:r>
        <w:rPr>
          <w:rFonts w:hint="eastAsia" w:ascii="宋体" w:hAnsi="宋体" w:cs="宋体"/>
          <w:sz w:val="24"/>
          <w:highlight w:val="none"/>
        </w:rPr>
        <w:t>3.3.2 澄清、说明和补正不得改变参选文件的实质性内容（算术性错误修正的除外）。参选单位的书面澄清、说明和补正属于参选文件的组成部分。</w:t>
      </w:r>
    </w:p>
    <w:p>
      <w:pPr>
        <w:ind w:firstLine="480" w:firstLineChars="200"/>
        <w:rPr>
          <w:rFonts w:ascii="宋体" w:hAnsi="宋体" w:cs="宋体"/>
          <w:sz w:val="24"/>
          <w:highlight w:val="none"/>
        </w:rPr>
      </w:pPr>
      <w:r>
        <w:rPr>
          <w:rFonts w:hint="eastAsia" w:ascii="宋体" w:hAnsi="宋体" w:cs="宋体"/>
          <w:sz w:val="24"/>
          <w:highlight w:val="none"/>
        </w:rPr>
        <w:t>3.3.3 评审委员会对参选单位提交的澄清、说明或补正有疑问的，可以要求参选单位进一步澄清、说明或补正，直至满足评审委员会的要求。</w:t>
      </w:r>
    </w:p>
    <w:p>
      <w:pPr>
        <w:pStyle w:val="5"/>
        <w:spacing w:line="240" w:lineRule="auto"/>
        <w:rPr>
          <w:rFonts w:ascii="宋体" w:hAnsi="宋体" w:cs="宋体"/>
          <w:sz w:val="24"/>
          <w:szCs w:val="24"/>
          <w:highlight w:val="none"/>
        </w:rPr>
      </w:pPr>
      <w:r>
        <w:rPr>
          <w:rFonts w:hint="eastAsia" w:ascii="宋体" w:hAnsi="宋体" w:cs="宋体"/>
          <w:sz w:val="24"/>
          <w:szCs w:val="24"/>
          <w:highlight w:val="none"/>
        </w:rPr>
        <w:t>3.4 评审结果</w:t>
      </w:r>
    </w:p>
    <w:p>
      <w:pPr>
        <w:ind w:firstLine="480" w:firstLineChars="200"/>
        <w:rPr>
          <w:rFonts w:ascii="宋体" w:hAnsi="宋体" w:cs="宋体"/>
          <w:sz w:val="24"/>
          <w:highlight w:val="none"/>
        </w:rPr>
      </w:pPr>
      <w:r>
        <w:rPr>
          <w:rFonts w:hint="eastAsia" w:ascii="宋体" w:hAnsi="宋体" w:cs="宋体"/>
          <w:sz w:val="24"/>
          <w:highlight w:val="none"/>
        </w:rPr>
        <w:t>3.4.1 除第二章“比选须知”前附表授权直接确定中选人外，评审委员会按照得分高到低的顺序推荐中选候选人。</w:t>
      </w:r>
    </w:p>
    <w:p>
      <w:pPr>
        <w:ind w:firstLine="480" w:firstLineChars="200"/>
        <w:rPr>
          <w:rFonts w:ascii="宋体" w:hAnsi="宋体" w:cs="宋体"/>
          <w:sz w:val="24"/>
          <w:highlight w:val="none"/>
        </w:rPr>
      </w:pPr>
      <w:r>
        <w:rPr>
          <w:rFonts w:hint="eastAsia" w:ascii="宋体" w:hAnsi="宋体" w:cs="宋体"/>
          <w:sz w:val="24"/>
          <w:highlight w:val="none"/>
        </w:rPr>
        <w:t>3.4.2 评审委员会完成评审后，应当向建设单位提交书面比选报告。</w:t>
      </w:r>
    </w:p>
    <w:p>
      <w:pPr>
        <w:spacing w:line="360" w:lineRule="auto"/>
        <w:rPr>
          <w:rFonts w:ascii="宋体" w:hAnsi="宋体" w:cs="宋体"/>
          <w:sz w:val="24"/>
          <w:highlight w:val="none"/>
        </w:rPr>
      </w:pPr>
    </w:p>
    <w:p>
      <w:pPr>
        <w:spacing w:line="276" w:lineRule="auto"/>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pStyle w:val="2"/>
        <w:spacing w:line="240" w:lineRule="auto"/>
        <w:jc w:val="center"/>
        <w:rPr>
          <w:rFonts w:ascii="宋体" w:hAnsi="宋体" w:cs="宋体"/>
          <w:sz w:val="36"/>
          <w:szCs w:val="36"/>
          <w:highlight w:val="none"/>
        </w:rPr>
      </w:pPr>
      <w:bookmarkStart w:id="64" w:name="_Toc165389711"/>
      <w:r>
        <w:rPr>
          <w:rFonts w:hint="eastAsia" w:ascii="宋体" w:hAnsi="宋体" w:cs="宋体"/>
          <w:sz w:val="36"/>
          <w:szCs w:val="36"/>
          <w:highlight w:val="none"/>
        </w:rPr>
        <w:t>第四章  报价清单</w:t>
      </w:r>
      <w:bookmarkEnd w:id="64"/>
    </w:p>
    <w:p>
      <w:pPr>
        <w:pStyle w:val="2"/>
        <w:spacing w:line="240" w:lineRule="auto"/>
        <w:jc w:val="center"/>
        <w:rPr>
          <w:rFonts w:ascii="宋体" w:hAnsi="宋体" w:cs="宋体"/>
          <w:sz w:val="36"/>
          <w:szCs w:val="36"/>
          <w:highlight w:val="none"/>
        </w:rPr>
      </w:pPr>
    </w:p>
    <w:p>
      <w:pPr>
        <w:rPr>
          <w:rFonts w:ascii="宋体" w:hAnsi="宋体" w:cs="宋体"/>
          <w:sz w:val="36"/>
          <w:szCs w:val="36"/>
          <w:highlight w:val="none"/>
        </w:rPr>
      </w:pPr>
    </w:p>
    <w:p>
      <w:pPr>
        <w:pStyle w:val="14"/>
        <w:rPr>
          <w:rFonts w:ascii="宋体" w:hAnsi="宋体" w:cs="宋体"/>
          <w:sz w:val="36"/>
          <w:szCs w:val="36"/>
          <w:highlight w:val="none"/>
        </w:rPr>
      </w:pPr>
    </w:p>
    <w:p>
      <w:pPr>
        <w:rPr>
          <w:rFonts w:ascii="宋体" w:hAnsi="宋体" w:cs="宋体"/>
          <w:sz w:val="36"/>
          <w:szCs w:val="36"/>
          <w:highlight w:val="none"/>
        </w:rPr>
      </w:pPr>
    </w:p>
    <w:p>
      <w:pPr>
        <w:pStyle w:val="14"/>
        <w:rPr>
          <w:rFonts w:ascii="宋体" w:hAnsi="宋体" w:cs="宋体"/>
          <w:sz w:val="36"/>
          <w:szCs w:val="36"/>
          <w:highlight w:val="none"/>
        </w:rPr>
      </w:pPr>
    </w:p>
    <w:p>
      <w:pPr>
        <w:rPr>
          <w:rFonts w:ascii="宋体" w:hAnsi="宋体" w:cs="宋体"/>
          <w:sz w:val="36"/>
          <w:szCs w:val="36"/>
          <w:highlight w:val="none"/>
        </w:rPr>
      </w:pPr>
    </w:p>
    <w:p>
      <w:pPr>
        <w:pStyle w:val="14"/>
        <w:rPr>
          <w:rFonts w:ascii="宋体" w:hAnsi="宋体" w:cs="宋体"/>
          <w:sz w:val="36"/>
          <w:szCs w:val="36"/>
          <w:highlight w:val="none"/>
        </w:rPr>
      </w:pPr>
    </w:p>
    <w:p>
      <w:pPr>
        <w:rPr>
          <w:rFonts w:ascii="宋体" w:hAnsi="宋体" w:cs="宋体"/>
          <w:sz w:val="36"/>
          <w:szCs w:val="36"/>
          <w:highlight w:val="none"/>
        </w:rPr>
      </w:pPr>
    </w:p>
    <w:p>
      <w:pPr>
        <w:pStyle w:val="14"/>
        <w:rPr>
          <w:rFonts w:ascii="宋体" w:hAnsi="宋体" w:cs="宋体"/>
          <w:sz w:val="36"/>
          <w:szCs w:val="36"/>
          <w:highlight w:val="none"/>
        </w:rPr>
      </w:pPr>
    </w:p>
    <w:p>
      <w:pPr>
        <w:rPr>
          <w:rFonts w:ascii="宋体" w:hAnsi="宋体" w:cs="宋体"/>
          <w:sz w:val="36"/>
          <w:szCs w:val="36"/>
          <w:highlight w:val="none"/>
        </w:rPr>
      </w:pPr>
    </w:p>
    <w:p>
      <w:pPr>
        <w:pStyle w:val="14"/>
        <w:rPr>
          <w:rFonts w:ascii="宋体" w:hAnsi="宋体" w:cs="宋体"/>
          <w:sz w:val="36"/>
          <w:szCs w:val="36"/>
          <w:highlight w:val="none"/>
        </w:rPr>
      </w:pPr>
    </w:p>
    <w:p>
      <w:pPr>
        <w:rPr>
          <w:highlight w:val="none"/>
        </w:rPr>
      </w:pPr>
    </w:p>
    <w:p>
      <w:pPr>
        <w:rPr>
          <w:highlight w:val="none"/>
        </w:rPr>
      </w:pPr>
    </w:p>
    <w:p>
      <w:pPr>
        <w:rPr>
          <w:highlight w:val="none"/>
        </w:rPr>
      </w:pPr>
    </w:p>
    <w:p>
      <w:pPr>
        <w:pStyle w:val="2"/>
        <w:spacing w:line="240" w:lineRule="auto"/>
        <w:jc w:val="center"/>
        <w:rPr>
          <w:rFonts w:ascii="宋体" w:cs="宋体"/>
          <w:kern w:val="0"/>
          <w:sz w:val="24"/>
          <w:highlight w:val="none"/>
        </w:rPr>
      </w:pPr>
      <w:bookmarkStart w:id="65" w:name="_Toc165389712"/>
      <w:bookmarkStart w:id="66" w:name="_Toc165389661"/>
      <w:r>
        <w:rPr>
          <w:rFonts w:hint="eastAsia" w:ascii="宋体" w:cs="宋体"/>
          <w:kern w:val="0"/>
          <w:sz w:val="24"/>
          <w:highlight w:val="none"/>
        </w:rPr>
        <w:br w:type="page"/>
      </w:r>
      <w:r>
        <w:rPr>
          <w:rFonts w:hint="eastAsia" w:ascii="宋体" w:cs="宋体"/>
          <w:kern w:val="0"/>
          <w:sz w:val="24"/>
          <w:highlight w:val="none"/>
        </w:rPr>
        <w:t>一、报价清单说明</w:t>
      </w:r>
      <w:bookmarkEnd w:id="65"/>
      <w:bookmarkEnd w:id="66"/>
    </w:p>
    <w:p>
      <w:pPr>
        <w:autoSpaceDE w:val="0"/>
        <w:autoSpaceDN w:val="0"/>
        <w:adjustRightInd w:val="0"/>
        <w:jc w:val="left"/>
        <w:rPr>
          <w:rFonts w:ascii="宋体" w:cs="宋体"/>
          <w:kern w:val="0"/>
          <w:sz w:val="24"/>
          <w:highlight w:val="none"/>
        </w:rPr>
      </w:pPr>
    </w:p>
    <w:p>
      <w:pPr>
        <w:autoSpaceDE w:val="0"/>
        <w:autoSpaceDN w:val="0"/>
        <w:adjustRightInd w:val="0"/>
        <w:ind w:firstLine="480" w:firstLineChars="200"/>
        <w:jc w:val="left"/>
        <w:rPr>
          <w:rFonts w:ascii="宋体" w:cs="宋体"/>
          <w:kern w:val="0"/>
          <w:sz w:val="24"/>
          <w:highlight w:val="none"/>
        </w:rPr>
      </w:pPr>
      <w:r>
        <w:rPr>
          <w:rFonts w:ascii="宋体" w:cs="宋体"/>
          <w:kern w:val="0"/>
          <w:sz w:val="24"/>
          <w:highlight w:val="none"/>
        </w:rPr>
        <w:t xml:space="preserve">1.1 </w:t>
      </w:r>
      <w:r>
        <w:rPr>
          <w:rFonts w:hint="eastAsia" w:ascii="宋体" w:cs="宋体"/>
          <w:kern w:val="0"/>
          <w:sz w:val="24"/>
          <w:highlight w:val="none"/>
        </w:rPr>
        <w:t>报价清单应与比选文件中的比选须知、合同条款、技术文件（合同技术条款）等一起阅读和理解。</w:t>
      </w:r>
    </w:p>
    <w:p>
      <w:pPr>
        <w:autoSpaceDE w:val="0"/>
        <w:autoSpaceDN w:val="0"/>
        <w:adjustRightInd w:val="0"/>
        <w:ind w:firstLine="480" w:firstLineChars="200"/>
        <w:jc w:val="left"/>
        <w:rPr>
          <w:rFonts w:ascii="宋体" w:cs="宋体"/>
          <w:kern w:val="0"/>
          <w:sz w:val="24"/>
          <w:highlight w:val="none"/>
        </w:rPr>
      </w:pPr>
      <w:r>
        <w:rPr>
          <w:rFonts w:ascii="宋体" w:cs="宋体"/>
          <w:kern w:val="0"/>
          <w:sz w:val="24"/>
          <w:highlight w:val="none"/>
        </w:rPr>
        <w:t xml:space="preserve">1.2 </w:t>
      </w:r>
      <w:r>
        <w:rPr>
          <w:rFonts w:hint="eastAsia" w:ascii="宋体" w:cs="宋体"/>
          <w:kern w:val="0"/>
          <w:sz w:val="24"/>
          <w:highlight w:val="none"/>
        </w:rPr>
        <w:t>报价清单中所有的报价栏均由参选单位填报。报价货币为人民币。若参选单位对某些项目未填报的，则认为已包括在其它项目的报价内。</w:t>
      </w:r>
    </w:p>
    <w:p>
      <w:pPr>
        <w:autoSpaceDE w:val="0"/>
        <w:autoSpaceDN w:val="0"/>
        <w:adjustRightInd w:val="0"/>
        <w:ind w:firstLine="480" w:firstLineChars="200"/>
        <w:jc w:val="left"/>
        <w:rPr>
          <w:rFonts w:ascii="宋体" w:cs="宋体"/>
          <w:kern w:val="0"/>
          <w:sz w:val="24"/>
          <w:highlight w:val="none"/>
        </w:rPr>
      </w:pPr>
      <w:r>
        <w:rPr>
          <w:rFonts w:ascii="宋体" w:cs="宋体"/>
          <w:kern w:val="0"/>
          <w:sz w:val="24"/>
          <w:highlight w:val="none"/>
        </w:rPr>
        <w:t xml:space="preserve">1.3 </w:t>
      </w:r>
      <w:r>
        <w:rPr>
          <w:rFonts w:hint="eastAsia" w:ascii="宋体" w:cs="宋体"/>
          <w:kern w:val="0"/>
          <w:sz w:val="24"/>
          <w:highlight w:val="none"/>
        </w:rPr>
        <w:t>参选单位所报价格中应包括为履行合同规定的全部成交义务而发生的劳务、交通、差旅、印刷、培训、咨询审查验收相关费用、管理费、保险、利润、税金（一切税费）等费用，以及合同明示或暗示的所有责任、义务和一般风险。</w:t>
      </w:r>
    </w:p>
    <w:p>
      <w:pPr>
        <w:autoSpaceDE w:val="0"/>
        <w:autoSpaceDN w:val="0"/>
        <w:adjustRightInd w:val="0"/>
        <w:ind w:firstLine="480" w:firstLineChars="200"/>
        <w:jc w:val="left"/>
        <w:rPr>
          <w:rFonts w:ascii="宋体" w:cs="宋体"/>
          <w:kern w:val="0"/>
          <w:sz w:val="24"/>
          <w:highlight w:val="none"/>
        </w:rPr>
      </w:pPr>
      <w:r>
        <w:rPr>
          <w:rFonts w:ascii="宋体" w:cs="宋体"/>
          <w:kern w:val="0"/>
          <w:sz w:val="24"/>
          <w:highlight w:val="none"/>
        </w:rPr>
        <w:t xml:space="preserve">1.4 </w:t>
      </w:r>
      <w:r>
        <w:rPr>
          <w:rFonts w:hint="eastAsia" w:ascii="宋体" w:cs="宋体"/>
          <w:kern w:val="0"/>
          <w:sz w:val="24"/>
          <w:highlight w:val="none"/>
        </w:rPr>
        <w:t>价表中各项目的工作内容和要求的规定详见技术文件有关部分。</w:t>
      </w:r>
    </w:p>
    <w:p>
      <w:pPr>
        <w:autoSpaceDE w:val="0"/>
        <w:autoSpaceDN w:val="0"/>
        <w:adjustRightInd w:val="0"/>
        <w:ind w:firstLine="480" w:firstLineChars="200"/>
        <w:jc w:val="left"/>
        <w:rPr>
          <w:rFonts w:ascii="宋体" w:cs="宋体"/>
          <w:kern w:val="0"/>
          <w:sz w:val="24"/>
          <w:highlight w:val="none"/>
        </w:rPr>
      </w:pPr>
      <w:r>
        <w:rPr>
          <w:rFonts w:ascii="宋体" w:cs="宋体"/>
          <w:kern w:val="0"/>
          <w:sz w:val="24"/>
          <w:highlight w:val="none"/>
        </w:rPr>
        <w:t xml:space="preserve">1.5 </w:t>
      </w:r>
      <w:r>
        <w:rPr>
          <w:rFonts w:hint="eastAsia" w:ascii="宋体" w:cs="宋体"/>
          <w:kern w:val="0"/>
          <w:sz w:val="24"/>
          <w:highlight w:val="none"/>
        </w:rPr>
        <w:t>本项目采用总价承包方式，价款的支付遵循合同条款的约定。</w:t>
      </w:r>
    </w:p>
    <w:p>
      <w:pPr>
        <w:pStyle w:val="2"/>
        <w:spacing w:line="240" w:lineRule="auto"/>
        <w:jc w:val="center"/>
        <w:rPr>
          <w:rFonts w:ascii="宋体" w:hAnsi="宋体" w:cs="宋体"/>
          <w:sz w:val="36"/>
          <w:szCs w:val="36"/>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rPr>
          <w:szCs w:val="20"/>
          <w:highlight w:val="none"/>
        </w:rPr>
      </w:pPr>
    </w:p>
    <w:p>
      <w:pPr>
        <w:pStyle w:val="2"/>
        <w:spacing w:line="240" w:lineRule="auto"/>
        <w:jc w:val="center"/>
        <w:rPr>
          <w:rFonts w:ascii="宋体" w:hAnsi="宋体" w:cs="宋体"/>
          <w:sz w:val="36"/>
          <w:szCs w:val="36"/>
          <w:highlight w:val="none"/>
        </w:rPr>
      </w:pPr>
      <w:bookmarkStart w:id="67" w:name="_Toc165389662"/>
      <w:bookmarkStart w:id="68" w:name="_Toc165389713"/>
      <w:bookmarkStart w:id="69" w:name="_Toc165383704"/>
      <w:r>
        <w:rPr>
          <w:rFonts w:hint="eastAsia" w:ascii="宋体" w:cs="宋体"/>
          <w:kern w:val="0"/>
          <w:sz w:val="24"/>
          <w:highlight w:val="none"/>
        </w:rPr>
        <w:br w:type="page"/>
      </w:r>
      <w:r>
        <w:rPr>
          <w:rFonts w:hint="eastAsia" w:ascii="宋体" w:cs="宋体"/>
          <w:kern w:val="0"/>
          <w:sz w:val="24"/>
          <w:highlight w:val="none"/>
        </w:rPr>
        <w:t>二、报价清单表</w:t>
      </w:r>
      <w:bookmarkEnd w:id="67"/>
      <w:bookmarkEnd w:id="68"/>
      <w:bookmarkEnd w:id="69"/>
    </w:p>
    <w:p>
      <w:pPr>
        <w:rPr>
          <w:rFonts w:ascii="宋体" w:hAnsi="宋体" w:cs="宋体"/>
          <w:sz w:val="36"/>
          <w:szCs w:val="36"/>
          <w:highlight w:val="none"/>
        </w:rPr>
      </w:pPr>
    </w:p>
    <w:tbl>
      <w:tblPr>
        <w:tblStyle w:val="32"/>
        <w:tblW w:w="9718"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4922"/>
        <w:gridCol w:w="1870"/>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trPr>
        <w:tc>
          <w:tcPr>
            <w:tcW w:w="974" w:type="dxa"/>
            <w:vAlign w:val="center"/>
          </w:tcPr>
          <w:p>
            <w:pPr>
              <w:kinsoku w:val="0"/>
              <w:overflowPunct w:val="0"/>
              <w:autoSpaceDE w:val="0"/>
              <w:autoSpaceDN w:val="0"/>
              <w:adjustRightInd w:val="0"/>
              <w:spacing w:before="26"/>
              <w:ind w:left="160"/>
              <w:jc w:val="center"/>
              <w:rPr>
                <w:rFonts w:ascii="仿宋_GB2312" w:eastAsia="仿宋_GB2312"/>
                <w:kern w:val="0"/>
                <w:szCs w:val="21"/>
                <w:highlight w:val="none"/>
              </w:rPr>
            </w:pPr>
            <w:bookmarkStart w:id="70" w:name="2._报价清单表"/>
            <w:bookmarkEnd w:id="70"/>
            <w:r>
              <w:rPr>
                <w:rFonts w:hint="eastAsia" w:ascii="仿宋_GB2312" w:eastAsia="仿宋_GB2312" w:cs="宋体"/>
                <w:b/>
                <w:bCs/>
                <w:kern w:val="0"/>
                <w:szCs w:val="21"/>
                <w:highlight w:val="none"/>
              </w:rPr>
              <w:t>序号</w:t>
            </w:r>
          </w:p>
        </w:tc>
        <w:tc>
          <w:tcPr>
            <w:tcW w:w="4922" w:type="dxa"/>
            <w:vAlign w:val="center"/>
          </w:tcPr>
          <w:p>
            <w:pPr>
              <w:kinsoku w:val="0"/>
              <w:overflowPunct w:val="0"/>
              <w:autoSpaceDE w:val="0"/>
              <w:autoSpaceDN w:val="0"/>
              <w:adjustRightInd w:val="0"/>
              <w:spacing w:before="26"/>
              <w:ind w:right="3"/>
              <w:jc w:val="center"/>
              <w:rPr>
                <w:rFonts w:ascii="仿宋_GB2312" w:eastAsia="仿宋_GB2312"/>
                <w:kern w:val="0"/>
                <w:szCs w:val="21"/>
                <w:highlight w:val="none"/>
              </w:rPr>
            </w:pPr>
            <w:r>
              <w:rPr>
                <w:rFonts w:hint="eastAsia" w:ascii="仿宋_GB2312" w:eastAsia="仿宋_GB2312" w:cs="宋体"/>
                <w:b/>
                <w:bCs/>
                <w:kern w:val="0"/>
                <w:szCs w:val="21"/>
                <w:highlight w:val="none"/>
              </w:rPr>
              <w:t>费用名称</w:t>
            </w:r>
          </w:p>
        </w:tc>
        <w:tc>
          <w:tcPr>
            <w:tcW w:w="1870" w:type="dxa"/>
            <w:vAlign w:val="center"/>
          </w:tcPr>
          <w:p>
            <w:pPr>
              <w:kinsoku w:val="0"/>
              <w:overflowPunct w:val="0"/>
              <w:autoSpaceDE w:val="0"/>
              <w:autoSpaceDN w:val="0"/>
              <w:adjustRightInd w:val="0"/>
              <w:spacing w:before="26"/>
              <w:ind w:left="112"/>
              <w:jc w:val="center"/>
              <w:rPr>
                <w:rFonts w:ascii="仿宋_GB2312" w:eastAsia="仿宋_GB2312"/>
                <w:kern w:val="0"/>
                <w:szCs w:val="21"/>
                <w:highlight w:val="none"/>
              </w:rPr>
            </w:pPr>
            <w:r>
              <w:rPr>
                <w:rFonts w:hint="eastAsia" w:ascii="仿宋_GB2312" w:eastAsia="仿宋_GB2312" w:cs="宋体"/>
                <w:b/>
                <w:bCs/>
                <w:kern w:val="0"/>
                <w:szCs w:val="21"/>
                <w:highlight w:val="none"/>
              </w:rPr>
              <w:t>金额（元）</w:t>
            </w:r>
          </w:p>
        </w:tc>
        <w:tc>
          <w:tcPr>
            <w:tcW w:w="1952" w:type="dxa"/>
            <w:vAlign w:val="center"/>
          </w:tcPr>
          <w:p>
            <w:pPr>
              <w:kinsoku w:val="0"/>
              <w:overflowPunct w:val="0"/>
              <w:autoSpaceDE w:val="0"/>
              <w:autoSpaceDN w:val="0"/>
              <w:adjustRightInd w:val="0"/>
              <w:spacing w:before="26"/>
              <w:ind w:left="703"/>
              <w:rPr>
                <w:rFonts w:ascii="仿宋_GB2312" w:eastAsia="仿宋_GB2312"/>
                <w:kern w:val="0"/>
                <w:szCs w:val="21"/>
                <w:highlight w:val="none"/>
              </w:rPr>
            </w:pPr>
            <w:r>
              <w:rPr>
                <w:rFonts w:hint="eastAsia" w:ascii="仿宋_GB2312" w:eastAsia="仿宋_GB2312" w:cs="宋体"/>
                <w:b/>
                <w:bCs/>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exact"/>
        </w:trPr>
        <w:tc>
          <w:tcPr>
            <w:tcW w:w="974" w:type="dxa"/>
            <w:vAlign w:val="center"/>
          </w:tcPr>
          <w:p>
            <w:pPr>
              <w:kinsoku w:val="0"/>
              <w:overflowPunct w:val="0"/>
              <w:autoSpaceDE w:val="0"/>
              <w:autoSpaceDN w:val="0"/>
              <w:adjustRightInd w:val="0"/>
              <w:ind w:firstLine="420" w:firstLineChars="200"/>
              <w:rPr>
                <w:rFonts w:ascii="仿宋_GB2312" w:eastAsia="仿宋_GB2312"/>
                <w:kern w:val="0"/>
                <w:szCs w:val="21"/>
                <w:highlight w:val="none"/>
              </w:rPr>
            </w:pPr>
            <w:r>
              <w:rPr>
                <w:rFonts w:hint="eastAsia" w:ascii="仿宋_GB2312" w:eastAsia="仿宋_GB2312"/>
                <w:kern w:val="0"/>
                <w:szCs w:val="21"/>
                <w:highlight w:val="none"/>
              </w:rPr>
              <w:t>1</w:t>
            </w:r>
          </w:p>
        </w:tc>
        <w:tc>
          <w:tcPr>
            <w:tcW w:w="4922" w:type="dxa"/>
            <w:vAlign w:val="center"/>
          </w:tcPr>
          <w:p>
            <w:pPr>
              <w:kinsoku w:val="0"/>
              <w:overflowPunct w:val="0"/>
              <w:autoSpaceDE w:val="0"/>
              <w:autoSpaceDN w:val="0"/>
              <w:adjustRightInd w:val="0"/>
              <w:spacing w:line="312" w:lineRule="exact"/>
              <w:ind w:left="103" w:right="156"/>
              <w:rPr>
                <w:rFonts w:ascii="仿宋_GB2312" w:eastAsia="仿宋_GB2312"/>
                <w:kern w:val="0"/>
                <w:szCs w:val="21"/>
                <w:highlight w:val="none"/>
              </w:rPr>
            </w:pPr>
            <w:r>
              <w:rPr>
                <w:rFonts w:hint="eastAsia" w:ascii="仿宋_GB2312" w:hAnsi="宋体" w:eastAsia="仿宋_GB2312" w:cs="宋体"/>
                <w:kern w:val="0"/>
                <w:szCs w:val="21"/>
                <w:highlight w:val="none"/>
              </w:rPr>
              <w:t>吉林省中部城市引松供水工程标准化管理咨询</w:t>
            </w:r>
          </w:p>
        </w:tc>
        <w:tc>
          <w:tcPr>
            <w:tcW w:w="1870" w:type="dxa"/>
            <w:vAlign w:val="center"/>
          </w:tcPr>
          <w:p>
            <w:pPr>
              <w:autoSpaceDE w:val="0"/>
              <w:autoSpaceDN w:val="0"/>
              <w:adjustRightInd w:val="0"/>
              <w:rPr>
                <w:rFonts w:ascii="仿宋_GB2312" w:eastAsia="仿宋_GB2312"/>
                <w:kern w:val="0"/>
                <w:szCs w:val="21"/>
                <w:highlight w:val="none"/>
              </w:rPr>
            </w:pPr>
          </w:p>
        </w:tc>
        <w:tc>
          <w:tcPr>
            <w:tcW w:w="1952" w:type="dxa"/>
            <w:vAlign w:val="center"/>
          </w:tcPr>
          <w:p>
            <w:pPr>
              <w:autoSpaceDE w:val="0"/>
              <w:autoSpaceDN w:val="0"/>
              <w:adjustRightInd w:val="0"/>
              <w:rPr>
                <w:rFonts w:ascii="仿宋_GB2312"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trPr>
        <w:tc>
          <w:tcPr>
            <w:tcW w:w="5896" w:type="dxa"/>
            <w:gridSpan w:val="2"/>
            <w:vAlign w:val="center"/>
          </w:tcPr>
          <w:p>
            <w:pPr>
              <w:kinsoku w:val="0"/>
              <w:overflowPunct w:val="0"/>
              <w:autoSpaceDE w:val="0"/>
              <w:autoSpaceDN w:val="0"/>
              <w:adjustRightInd w:val="0"/>
              <w:spacing w:before="88"/>
              <w:jc w:val="center"/>
              <w:rPr>
                <w:rFonts w:ascii="仿宋_GB2312" w:eastAsia="仿宋_GB2312"/>
                <w:kern w:val="0"/>
                <w:szCs w:val="21"/>
                <w:highlight w:val="none"/>
              </w:rPr>
            </w:pPr>
            <w:r>
              <w:rPr>
                <w:rFonts w:hint="eastAsia" w:ascii="仿宋_GB2312" w:eastAsia="仿宋_GB2312" w:cs="宋体"/>
                <w:kern w:val="0"/>
                <w:szCs w:val="21"/>
                <w:highlight w:val="none"/>
              </w:rPr>
              <w:t>合计（元）</w:t>
            </w:r>
          </w:p>
        </w:tc>
        <w:tc>
          <w:tcPr>
            <w:tcW w:w="1870" w:type="dxa"/>
            <w:vAlign w:val="center"/>
          </w:tcPr>
          <w:p>
            <w:pPr>
              <w:autoSpaceDE w:val="0"/>
              <w:autoSpaceDN w:val="0"/>
              <w:adjustRightInd w:val="0"/>
              <w:rPr>
                <w:rFonts w:ascii="仿宋_GB2312" w:eastAsia="仿宋_GB2312"/>
                <w:kern w:val="0"/>
                <w:szCs w:val="21"/>
                <w:highlight w:val="none"/>
              </w:rPr>
            </w:pPr>
          </w:p>
        </w:tc>
        <w:tc>
          <w:tcPr>
            <w:tcW w:w="1952" w:type="dxa"/>
            <w:vAlign w:val="center"/>
          </w:tcPr>
          <w:p>
            <w:pPr>
              <w:kinsoku w:val="0"/>
              <w:overflowPunct w:val="0"/>
              <w:autoSpaceDE w:val="0"/>
              <w:autoSpaceDN w:val="0"/>
              <w:adjustRightInd w:val="0"/>
              <w:spacing w:before="88"/>
              <w:ind w:left="465"/>
              <w:rPr>
                <w:rFonts w:ascii="仿宋_GB2312" w:eastAsia="仿宋_GB2312"/>
                <w:kern w:val="0"/>
                <w:szCs w:val="21"/>
                <w:highlight w:val="none"/>
              </w:rPr>
            </w:pPr>
            <w:r>
              <w:rPr>
                <w:rFonts w:hint="eastAsia" w:ascii="仿宋_GB2312" w:eastAsia="仿宋_GB2312" w:cs="宋体"/>
                <w:kern w:val="0"/>
                <w:szCs w:val="21"/>
                <w:highlight w:val="none"/>
              </w:rPr>
              <w:t>总价承包</w:t>
            </w:r>
          </w:p>
        </w:tc>
      </w:tr>
    </w:tbl>
    <w:p>
      <w:pPr>
        <w:kinsoku w:val="0"/>
        <w:overflowPunct w:val="0"/>
        <w:autoSpaceDE w:val="0"/>
        <w:autoSpaceDN w:val="0"/>
        <w:adjustRightInd w:val="0"/>
        <w:jc w:val="left"/>
        <w:rPr>
          <w:kern w:val="0"/>
          <w:sz w:val="24"/>
          <w:highlight w:val="none"/>
        </w:rPr>
      </w:pPr>
      <w:bookmarkStart w:id="71" w:name="第5章_技术文件"/>
      <w:bookmarkEnd w:id="71"/>
    </w:p>
    <w:p>
      <w:pPr>
        <w:rPr>
          <w:rFonts w:ascii="宋体" w:hAnsi="宋体" w:cs="宋体"/>
          <w:sz w:val="36"/>
          <w:szCs w:val="36"/>
          <w:highlight w:val="none"/>
        </w:rPr>
      </w:pPr>
    </w:p>
    <w:p>
      <w:pPr>
        <w:wordWrap w:val="0"/>
        <w:autoSpaceDE w:val="0"/>
        <w:autoSpaceDN w:val="0"/>
        <w:adjustRightInd w:val="0"/>
        <w:jc w:val="right"/>
        <w:rPr>
          <w:rFonts w:ascii="宋体" w:cs="宋体"/>
          <w:kern w:val="0"/>
          <w:sz w:val="24"/>
          <w:highlight w:val="none"/>
        </w:rPr>
      </w:pPr>
      <w:r>
        <w:rPr>
          <w:rFonts w:hint="eastAsia" w:ascii="宋体" w:cs="宋体"/>
          <w:kern w:val="0"/>
          <w:sz w:val="24"/>
          <w:highlight w:val="none"/>
        </w:rPr>
        <w:t xml:space="preserve">参选单位：（盖单位章）              </w:t>
      </w:r>
    </w:p>
    <w:p>
      <w:pPr>
        <w:wordWrap w:val="0"/>
        <w:jc w:val="right"/>
        <w:rPr>
          <w:rFonts w:ascii="宋体" w:hAnsi="宋体" w:cs="宋体"/>
          <w:sz w:val="36"/>
          <w:szCs w:val="36"/>
          <w:highlight w:val="none"/>
        </w:rPr>
      </w:pPr>
      <w:r>
        <w:rPr>
          <w:rFonts w:hint="eastAsia" w:ascii="宋体" w:cs="宋体"/>
          <w:kern w:val="0"/>
          <w:sz w:val="24"/>
          <w:highlight w:val="none"/>
        </w:rPr>
        <w:t xml:space="preserve">法定代表人或委托代理人：（签名）        </w:t>
      </w:r>
    </w:p>
    <w:p>
      <w:pPr>
        <w:rPr>
          <w:rFonts w:ascii="宋体" w:hAnsi="宋体" w:cs="宋体"/>
          <w:sz w:val="36"/>
          <w:szCs w:val="36"/>
          <w:highlight w:val="none"/>
        </w:rPr>
      </w:pPr>
    </w:p>
    <w:p>
      <w:pPr>
        <w:rPr>
          <w:rFonts w:ascii="宋体" w:hAnsi="宋体" w:cs="宋体"/>
          <w:sz w:val="36"/>
          <w:szCs w:val="36"/>
          <w:highlight w:val="none"/>
        </w:rPr>
        <w:sectPr>
          <w:footerReference r:id="rId10" w:type="even"/>
          <w:pgSz w:w="11907" w:h="16840"/>
          <w:pgMar w:top="1440" w:right="1080" w:bottom="1440" w:left="1080" w:header="851" w:footer="992" w:gutter="0"/>
          <w:cols w:space="720" w:num="1"/>
          <w:docGrid w:type="linesAndChars" w:linePitch="286" w:charSpace="0"/>
        </w:sectPr>
      </w:pPr>
    </w:p>
    <w:p>
      <w:pPr>
        <w:rPr>
          <w:rFonts w:ascii="宋体" w:hAnsi="宋体" w:cs="宋体"/>
          <w:sz w:val="36"/>
          <w:szCs w:val="36"/>
          <w:highlight w:val="none"/>
        </w:rPr>
      </w:pPr>
    </w:p>
    <w:p>
      <w:pPr>
        <w:rPr>
          <w:rFonts w:ascii="宋体" w:hAnsi="宋体" w:cs="宋体"/>
          <w:sz w:val="36"/>
          <w:szCs w:val="36"/>
          <w:highlight w:val="none"/>
        </w:rPr>
      </w:pPr>
    </w:p>
    <w:p>
      <w:pPr>
        <w:rPr>
          <w:rFonts w:ascii="宋体" w:hAnsi="宋体" w:cs="宋体"/>
          <w:sz w:val="36"/>
          <w:szCs w:val="36"/>
          <w:highlight w:val="none"/>
        </w:rPr>
      </w:pPr>
    </w:p>
    <w:p>
      <w:pPr>
        <w:rPr>
          <w:rFonts w:ascii="宋体" w:hAnsi="宋体" w:cs="宋体"/>
          <w:sz w:val="36"/>
          <w:szCs w:val="36"/>
          <w:highlight w:val="none"/>
        </w:rPr>
      </w:pPr>
    </w:p>
    <w:p>
      <w:pPr>
        <w:rPr>
          <w:rFonts w:ascii="宋体" w:hAnsi="宋体" w:cs="宋体"/>
          <w:sz w:val="36"/>
          <w:szCs w:val="36"/>
          <w:highlight w:val="none"/>
        </w:rPr>
      </w:pPr>
    </w:p>
    <w:p>
      <w:pPr>
        <w:rPr>
          <w:rFonts w:ascii="宋体" w:hAnsi="宋体" w:cs="宋体"/>
          <w:sz w:val="36"/>
          <w:szCs w:val="36"/>
          <w:highlight w:val="none"/>
        </w:rPr>
      </w:pPr>
    </w:p>
    <w:p>
      <w:pPr>
        <w:rPr>
          <w:rFonts w:ascii="宋体" w:hAnsi="宋体" w:cs="宋体"/>
          <w:sz w:val="36"/>
          <w:szCs w:val="36"/>
          <w:highlight w:val="none"/>
        </w:rPr>
      </w:pPr>
    </w:p>
    <w:p>
      <w:pPr>
        <w:rPr>
          <w:rFonts w:ascii="宋体" w:hAnsi="宋体" w:cs="宋体"/>
          <w:sz w:val="36"/>
          <w:szCs w:val="36"/>
          <w:highlight w:val="none"/>
        </w:rPr>
      </w:pPr>
    </w:p>
    <w:p>
      <w:pPr>
        <w:pStyle w:val="2"/>
        <w:spacing w:line="240" w:lineRule="auto"/>
        <w:rPr>
          <w:rFonts w:ascii="宋体" w:hAnsi="宋体" w:cs="宋体"/>
          <w:sz w:val="36"/>
          <w:szCs w:val="36"/>
          <w:highlight w:val="none"/>
        </w:rPr>
      </w:pPr>
    </w:p>
    <w:p>
      <w:pPr>
        <w:pStyle w:val="2"/>
        <w:spacing w:line="240" w:lineRule="auto"/>
        <w:jc w:val="center"/>
        <w:rPr>
          <w:rFonts w:ascii="宋体" w:hAnsi="宋体" w:cs="宋体"/>
          <w:sz w:val="36"/>
          <w:szCs w:val="36"/>
          <w:highlight w:val="none"/>
        </w:rPr>
      </w:pPr>
      <w:bookmarkStart w:id="72" w:name="_Toc165389714"/>
      <w:r>
        <w:rPr>
          <w:rFonts w:hint="eastAsia" w:ascii="宋体" w:hAnsi="宋体" w:cs="宋体"/>
          <w:sz w:val="36"/>
          <w:szCs w:val="36"/>
          <w:highlight w:val="none"/>
        </w:rPr>
        <w:t>第五章 合同条款及格式</w:t>
      </w:r>
      <w:bookmarkEnd w:id="72"/>
    </w:p>
    <w:p>
      <w:pPr>
        <w:rPr>
          <w:rFonts w:ascii="宋体" w:hAnsi="宋体" w:cs="宋体"/>
          <w:highlight w:val="none"/>
        </w:rPr>
      </w:pPr>
    </w:p>
    <w:p>
      <w:pPr>
        <w:pStyle w:val="4"/>
        <w:jc w:val="center"/>
        <w:rPr>
          <w:rFonts w:ascii="宋体" w:hAnsi="宋体" w:cs="宋体"/>
          <w:color w:val="000000"/>
          <w:sz w:val="32"/>
          <w:highlight w:val="none"/>
        </w:rPr>
      </w:pPr>
      <w:bookmarkStart w:id="73" w:name="_Toc351203495"/>
      <w:r>
        <w:rPr>
          <w:rFonts w:hint="eastAsia" w:ascii="宋体" w:hAnsi="宋体" w:cs="宋体"/>
          <w:b w:val="0"/>
          <w:bCs w:val="0"/>
          <w:highlight w:val="none"/>
        </w:rPr>
        <w:br w:type="page"/>
      </w:r>
      <w:bookmarkEnd w:id="73"/>
      <w:bookmarkStart w:id="74" w:name="_Toc206839563"/>
    </w:p>
    <w:p>
      <w:pPr>
        <w:pStyle w:val="4"/>
        <w:numPr>
          <w:ilvl w:val="0"/>
          <w:numId w:val="2"/>
        </w:numPr>
        <w:jc w:val="center"/>
        <w:rPr>
          <w:rFonts w:ascii="宋体" w:hAnsi="宋体" w:cs="宋体"/>
          <w:color w:val="000000"/>
          <w:sz w:val="32"/>
          <w:highlight w:val="none"/>
        </w:rPr>
      </w:pPr>
      <w:r>
        <w:rPr>
          <w:rFonts w:hint="eastAsia" w:ascii="宋体" w:hAnsi="宋体" w:cs="宋体"/>
          <w:color w:val="000000"/>
          <w:sz w:val="32"/>
          <w:highlight w:val="none"/>
        </w:rPr>
        <w:t>合同技术条款</w:t>
      </w:r>
    </w:p>
    <w:p>
      <w:pPr>
        <w:pStyle w:val="4"/>
        <w:jc w:val="center"/>
        <w:rPr>
          <w:rFonts w:ascii="宋体" w:hAnsi="宋体" w:cs="宋体"/>
          <w:b w:val="0"/>
          <w:bCs w:val="0"/>
          <w:color w:val="000000"/>
          <w:szCs w:val="24"/>
          <w:highlight w:val="none"/>
        </w:rPr>
      </w:pPr>
      <w:r>
        <w:rPr>
          <w:rFonts w:hint="eastAsia" w:ascii="宋体" w:hAnsi="宋体" w:cs="宋体"/>
          <w:b w:val="0"/>
          <w:bCs w:val="0"/>
          <w:color w:val="000000"/>
          <w:szCs w:val="24"/>
          <w:highlight w:val="none"/>
        </w:rPr>
        <w:t>（本合同仅供参考，具体以甲乙双方签订为准）</w:t>
      </w:r>
    </w:p>
    <w:p>
      <w:pPr>
        <w:adjustRightInd w:val="0"/>
        <w:snapToGrid w:val="0"/>
        <w:spacing w:line="360" w:lineRule="auto"/>
        <w:jc w:val="center"/>
        <w:rPr>
          <w:rFonts w:ascii="宋体" w:hAnsi="宋体" w:cs="宋体"/>
          <w:b/>
          <w:bCs/>
          <w:highlight w:val="none"/>
        </w:rPr>
      </w:pPr>
    </w:p>
    <w:p>
      <w:pPr>
        <w:adjustRightInd w:val="0"/>
        <w:snapToGrid w:val="0"/>
        <w:spacing w:line="360" w:lineRule="auto"/>
        <w:jc w:val="left"/>
        <w:rPr>
          <w:b/>
          <w:sz w:val="30"/>
          <w:szCs w:val="30"/>
          <w:highlight w:val="none"/>
        </w:rPr>
      </w:pPr>
      <w:r>
        <w:rPr>
          <w:b/>
          <w:sz w:val="30"/>
          <w:szCs w:val="30"/>
          <w:highlight w:val="none"/>
        </w:rPr>
        <w:t>合同编号：</w:t>
      </w:r>
    </w:p>
    <w:p>
      <w:pPr>
        <w:adjustRightInd w:val="0"/>
        <w:snapToGrid w:val="0"/>
        <w:spacing w:line="360" w:lineRule="auto"/>
        <w:rPr>
          <w:highlight w:val="none"/>
        </w:rPr>
      </w:pPr>
    </w:p>
    <w:p>
      <w:pPr>
        <w:adjustRightInd w:val="0"/>
        <w:snapToGrid w:val="0"/>
        <w:spacing w:line="360" w:lineRule="auto"/>
        <w:rPr>
          <w:highlight w:val="none"/>
        </w:rPr>
      </w:pPr>
    </w:p>
    <w:p>
      <w:pPr>
        <w:adjustRightInd w:val="0"/>
        <w:snapToGrid w:val="0"/>
        <w:spacing w:line="360" w:lineRule="auto"/>
        <w:rPr>
          <w:highlight w:val="none"/>
        </w:rPr>
      </w:pPr>
    </w:p>
    <w:p>
      <w:pPr>
        <w:adjustRightInd w:val="0"/>
        <w:snapToGrid w:val="0"/>
        <w:spacing w:line="360" w:lineRule="auto"/>
        <w:rPr>
          <w:highlight w:val="none"/>
        </w:rPr>
      </w:pPr>
    </w:p>
    <w:p>
      <w:pPr>
        <w:adjustRightInd w:val="0"/>
        <w:snapToGrid w:val="0"/>
        <w:spacing w:line="360" w:lineRule="auto"/>
        <w:rPr>
          <w:highlight w:val="none"/>
        </w:rPr>
      </w:pPr>
    </w:p>
    <w:p>
      <w:pPr>
        <w:adjustRightInd w:val="0"/>
        <w:snapToGrid w:val="0"/>
        <w:spacing w:line="360" w:lineRule="auto"/>
        <w:jc w:val="center"/>
        <w:rPr>
          <w:b/>
          <w:sz w:val="44"/>
          <w:highlight w:val="none"/>
        </w:rPr>
      </w:pPr>
      <w:r>
        <w:rPr>
          <w:b/>
          <w:sz w:val="44"/>
          <w:highlight w:val="none"/>
        </w:rPr>
        <w:t>技术</w:t>
      </w:r>
      <w:r>
        <w:rPr>
          <w:rFonts w:hint="eastAsia"/>
          <w:b/>
          <w:sz w:val="44"/>
          <w:highlight w:val="none"/>
        </w:rPr>
        <w:t>服务</w:t>
      </w:r>
      <w:r>
        <w:rPr>
          <w:b/>
          <w:sz w:val="44"/>
          <w:highlight w:val="none"/>
        </w:rPr>
        <w:t>合同</w:t>
      </w:r>
    </w:p>
    <w:p>
      <w:pPr>
        <w:adjustRightInd w:val="0"/>
        <w:snapToGrid w:val="0"/>
        <w:spacing w:line="360" w:lineRule="auto"/>
        <w:jc w:val="center"/>
        <w:rPr>
          <w:highlight w:val="none"/>
        </w:rPr>
      </w:pPr>
    </w:p>
    <w:p>
      <w:pPr>
        <w:adjustRightInd w:val="0"/>
        <w:snapToGrid w:val="0"/>
        <w:spacing w:line="360" w:lineRule="auto"/>
        <w:jc w:val="center"/>
        <w:rPr>
          <w:highlight w:val="none"/>
        </w:rPr>
      </w:pPr>
    </w:p>
    <w:p>
      <w:pPr>
        <w:adjustRightInd w:val="0"/>
        <w:snapToGrid w:val="0"/>
        <w:spacing w:line="360" w:lineRule="auto"/>
        <w:jc w:val="center"/>
        <w:rPr>
          <w:highlight w:val="none"/>
        </w:rPr>
      </w:pPr>
    </w:p>
    <w:p>
      <w:pPr>
        <w:adjustRightInd w:val="0"/>
        <w:snapToGrid w:val="0"/>
        <w:spacing w:line="360" w:lineRule="auto"/>
        <w:ind w:left="1894" w:leftChars="197" w:hanging="1481" w:hangingChars="463"/>
        <w:jc w:val="left"/>
        <w:rPr>
          <w:rFonts w:eastAsia="楷体"/>
          <w:sz w:val="32"/>
          <w:highlight w:val="none"/>
          <w:u w:val="single"/>
        </w:rPr>
      </w:pPr>
      <w:r>
        <w:rPr>
          <w:b/>
          <w:sz w:val="32"/>
          <w:highlight w:val="none"/>
        </w:rPr>
        <w:t>项目名称：</w:t>
      </w:r>
      <w:r>
        <w:rPr>
          <w:rFonts w:hint="eastAsia" w:eastAsia="楷体"/>
          <w:sz w:val="32"/>
          <w:highlight w:val="none"/>
          <w:u w:val="single"/>
        </w:rPr>
        <w:t xml:space="preserve">                </w:t>
      </w:r>
      <w:r>
        <w:rPr>
          <w:rFonts w:eastAsia="楷体"/>
          <w:sz w:val="32"/>
          <w:highlight w:val="none"/>
          <w:u w:val="single"/>
        </w:rPr>
        <w:tab/>
      </w:r>
      <w:r>
        <w:rPr>
          <w:rFonts w:eastAsia="楷体"/>
          <w:sz w:val="32"/>
          <w:highlight w:val="none"/>
          <w:u w:val="single"/>
        </w:rPr>
        <w:tab/>
      </w:r>
      <w:r>
        <w:rPr>
          <w:rFonts w:eastAsia="楷体"/>
          <w:sz w:val="32"/>
          <w:highlight w:val="none"/>
          <w:u w:val="single"/>
        </w:rPr>
        <w:tab/>
      </w:r>
      <w:r>
        <w:rPr>
          <w:rFonts w:hint="eastAsia" w:eastAsia="楷体"/>
          <w:sz w:val="32"/>
          <w:highlight w:val="none"/>
          <w:u w:val="single"/>
        </w:rPr>
        <w:t xml:space="preserve">                  </w:t>
      </w:r>
    </w:p>
    <w:p>
      <w:pPr>
        <w:adjustRightInd w:val="0"/>
        <w:snapToGrid w:val="0"/>
        <w:spacing w:line="360" w:lineRule="auto"/>
        <w:rPr>
          <w:b/>
          <w:sz w:val="32"/>
          <w:highlight w:val="none"/>
        </w:rPr>
      </w:pPr>
    </w:p>
    <w:p>
      <w:pPr>
        <w:adjustRightInd w:val="0"/>
        <w:snapToGrid w:val="0"/>
        <w:spacing w:line="360" w:lineRule="auto"/>
        <w:rPr>
          <w:rFonts w:eastAsia="楷体"/>
          <w:sz w:val="32"/>
          <w:highlight w:val="none"/>
          <w:u w:val="single"/>
        </w:rPr>
      </w:pPr>
      <w:r>
        <w:rPr>
          <w:b/>
          <w:sz w:val="32"/>
          <w:highlight w:val="none"/>
        </w:rPr>
        <w:tab/>
      </w:r>
      <w:r>
        <w:rPr>
          <w:b/>
          <w:sz w:val="32"/>
          <w:highlight w:val="none"/>
        </w:rPr>
        <w:t>委托方（甲方）：</w:t>
      </w:r>
      <w:r>
        <w:rPr>
          <w:bCs/>
          <w:i/>
          <w:iCs/>
          <w:sz w:val="32"/>
          <w:highlight w:val="none"/>
          <w:u w:val="single"/>
        </w:rPr>
        <w:t xml:space="preserve"> </w:t>
      </w:r>
      <w:r>
        <w:rPr>
          <w:rFonts w:hint="eastAsia"/>
          <w:bCs/>
          <w:i/>
          <w:iCs/>
          <w:sz w:val="32"/>
          <w:highlight w:val="none"/>
          <w:u w:val="single"/>
        </w:rPr>
        <w:t xml:space="preserve">       </w:t>
      </w:r>
      <w:r>
        <w:rPr>
          <w:bCs/>
          <w:i/>
          <w:iCs/>
          <w:sz w:val="32"/>
          <w:highlight w:val="none"/>
          <w:u w:val="single"/>
        </w:rPr>
        <w:tab/>
      </w:r>
      <w:r>
        <w:rPr>
          <w:bCs/>
          <w:i/>
          <w:iCs/>
          <w:sz w:val="32"/>
          <w:highlight w:val="none"/>
          <w:u w:val="single"/>
        </w:rPr>
        <w:tab/>
      </w:r>
      <w:r>
        <w:rPr>
          <w:rFonts w:hint="eastAsia"/>
          <w:bCs/>
          <w:i/>
          <w:iCs/>
          <w:sz w:val="32"/>
          <w:highlight w:val="none"/>
          <w:u w:val="single"/>
        </w:rPr>
        <w:t xml:space="preserve">                  </w:t>
      </w:r>
      <w:r>
        <w:rPr>
          <w:rFonts w:eastAsia="楷体"/>
          <w:sz w:val="32"/>
          <w:highlight w:val="none"/>
          <w:u w:val="single"/>
        </w:rPr>
        <w:t xml:space="preserve">      </w:t>
      </w:r>
    </w:p>
    <w:p>
      <w:pPr>
        <w:adjustRightInd w:val="0"/>
        <w:snapToGrid w:val="0"/>
        <w:spacing w:line="360" w:lineRule="auto"/>
        <w:rPr>
          <w:b/>
          <w:sz w:val="32"/>
          <w:highlight w:val="none"/>
        </w:rPr>
      </w:pPr>
    </w:p>
    <w:p>
      <w:pPr>
        <w:adjustRightInd w:val="0"/>
        <w:snapToGrid w:val="0"/>
        <w:spacing w:line="360" w:lineRule="auto"/>
        <w:rPr>
          <w:rFonts w:eastAsia="楷体"/>
          <w:sz w:val="32"/>
          <w:highlight w:val="none"/>
          <w:u w:val="single"/>
        </w:rPr>
      </w:pPr>
      <w:r>
        <w:rPr>
          <w:b/>
          <w:sz w:val="32"/>
          <w:highlight w:val="none"/>
        </w:rPr>
        <w:tab/>
      </w:r>
      <w:r>
        <w:rPr>
          <w:b/>
          <w:sz w:val="32"/>
          <w:highlight w:val="none"/>
        </w:rPr>
        <w:t>受托方（乙方）：</w:t>
      </w:r>
      <w:r>
        <w:rPr>
          <w:bCs/>
          <w:sz w:val="32"/>
          <w:highlight w:val="none"/>
          <w:u w:val="single"/>
        </w:rPr>
        <w:t xml:space="preserve">   </w:t>
      </w:r>
      <w:r>
        <w:rPr>
          <w:bCs/>
          <w:sz w:val="32"/>
          <w:highlight w:val="none"/>
          <w:u w:val="single"/>
        </w:rPr>
        <w:tab/>
      </w:r>
      <w:r>
        <w:rPr>
          <w:bCs/>
          <w:sz w:val="32"/>
          <w:highlight w:val="none"/>
          <w:u w:val="single"/>
        </w:rPr>
        <w:tab/>
      </w:r>
      <w:r>
        <w:rPr>
          <w:bCs/>
          <w:sz w:val="32"/>
          <w:highlight w:val="none"/>
          <w:u w:val="single"/>
        </w:rPr>
        <w:tab/>
      </w:r>
      <w:r>
        <w:rPr>
          <w:bCs/>
          <w:sz w:val="32"/>
          <w:highlight w:val="none"/>
          <w:u w:val="single"/>
        </w:rPr>
        <w:tab/>
      </w:r>
      <w:r>
        <w:rPr>
          <w:bCs/>
          <w:sz w:val="32"/>
          <w:highlight w:val="none"/>
          <w:u w:val="single"/>
        </w:rPr>
        <w:tab/>
      </w:r>
      <w:r>
        <w:rPr>
          <w:bCs/>
          <w:sz w:val="32"/>
          <w:highlight w:val="none"/>
          <w:u w:val="single"/>
        </w:rPr>
        <w:tab/>
      </w:r>
      <w:r>
        <w:rPr>
          <w:rFonts w:hint="eastAsia"/>
          <w:bCs/>
          <w:sz w:val="32"/>
          <w:highlight w:val="none"/>
          <w:u w:val="single"/>
        </w:rPr>
        <w:t xml:space="preserve">      </w:t>
      </w:r>
      <w:r>
        <w:rPr>
          <w:bCs/>
          <w:sz w:val="32"/>
          <w:highlight w:val="none"/>
          <w:u w:val="single"/>
        </w:rPr>
        <w:tab/>
      </w:r>
      <w:r>
        <w:rPr>
          <w:bCs/>
          <w:sz w:val="32"/>
          <w:highlight w:val="none"/>
          <w:u w:val="single"/>
        </w:rPr>
        <w:tab/>
      </w:r>
      <w:r>
        <w:rPr>
          <w:bCs/>
          <w:sz w:val="32"/>
          <w:highlight w:val="none"/>
          <w:u w:val="single"/>
        </w:rPr>
        <w:tab/>
      </w:r>
      <w:r>
        <w:rPr>
          <w:bCs/>
          <w:sz w:val="32"/>
          <w:highlight w:val="none"/>
          <w:u w:val="single"/>
        </w:rPr>
        <w:tab/>
      </w:r>
      <w:r>
        <w:rPr>
          <w:bCs/>
          <w:sz w:val="32"/>
          <w:highlight w:val="none"/>
          <w:u w:val="single"/>
        </w:rPr>
        <w:tab/>
      </w:r>
    </w:p>
    <w:p>
      <w:pPr>
        <w:adjustRightInd w:val="0"/>
        <w:snapToGrid w:val="0"/>
        <w:spacing w:line="360" w:lineRule="auto"/>
        <w:rPr>
          <w:rFonts w:eastAsia="楷体"/>
          <w:sz w:val="32"/>
          <w:highlight w:val="none"/>
          <w:u w:val="single"/>
        </w:rPr>
      </w:pPr>
    </w:p>
    <w:p>
      <w:pPr>
        <w:adjustRightInd w:val="0"/>
        <w:snapToGrid w:val="0"/>
        <w:spacing w:line="360" w:lineRule="auto"/>
        <w:rPr>
          <w:b/>
          <w:sz w:val="32"/>
          <w:highlight w:val="none"/>
        </w:rPr>
      </w:pPr>
      <w:r>
        <w:rPr>
          <w:b/>
          <w:sz w:val="32"/>
          <w:highlight w:val="none"/>
        </w:rPr>
        <w:tab/>
      </w:r>
      <w:r>
        <w:rPr>
          <w:b/>
          <w:sz w:val="32"/>
          <w:highlight w:val="none"/>
        </w:rPr>
        <w:t>签订时间：</w:t>
      </w:r>
      <w:r>
        <w:rPr>
          <w:rFonts w:eastAsia="楷体"/>
          <w:sz w:val="32"/>
          <w:highlight w:val="none"/>
          <w:u w:val="single"/>
        </w:rPr>
        <w:t xml:space="preserve">            </w:t>
      </w:r>
      <w:r>
        <w:rPr>
          <w:rFonts w:eastAsia="楷体"/>
          <w:sz w:val="32"/>
          <w:highlight w:val="none"/>
          <w:u w:val="single"/>
        </w:rPr>
        <w:tab/>
      </w:r>
      <w:r>
        <w:rPr>
          <w:rFonts w:eastAsia="楷体"/>
          <w:sz w:val="32"/>
          <w:highlight w:val="none"/>
          <w:u w:val="single"/>
        </w:rPr>
        <w:tab/>
      </w:r>
      <w:r>
        <w:rPr>
          <w:rFonts w:eastAsia="楷体"/>
          <w:sz w:val="32"/>
          <w:highlight w:val="none"/>
          <w:u w:val="single"/>
        </w:rPr>
        <w:tab/>
      </w:r>
      <w:r>
        <w:rPr>
          <w:rFonts w:eastAsia="楷体"/>
          <w:sz w:val="32"/>
          <w:highlight w:val="none"/>
          <w:u w:val="single"/>
        </w:rPr>
        <w:tab/>
      </w:r>
      <w:r>
        <w:rPr>
          <w:rFonts w:eastAsia="楷体"/>
          <w:sz w:val="32"/>
          <w:highlight w:val="none"/>
          <w:u w:val="single"/>
        </w:rPr>
        <w:tab/>
      </w:r>
      <w:r>
        <w:rPr>
          <w:rFonts w:eastAsia="楷体"/>
          <w:sz w:val="32"/>
          <w:highlight w:val="none"/>
          <w:u w:val="single"/>
        </w:rPr>
        <w:t xml:space="preserve">    </w:t>
      </w:r>
      <w:r>
        <w:rPr>
          <w:rFonts w:hint="eastAsia" w:eastAsia="楷体"/>
          <w:sz w:val="32"/>
          <w:highlight w:val="none"/>
          <w:u w:val="single"/>
        </w:rPr>
        <w:t xml:space="preserve">  </w:t>
      </w:r>
      <w:r>
        <w:rPr>
          <w:rFonts w:eastAsia="楷体"/>
          <w:sz w:val="32"/>
          <w:highlight w:val="none"/>
          <w:u w:val="single"/>
        </w:rPr>
        <w:t xml:space="preserve">          </w:t>
      </w:r>
    </w:p>
    <w:p>
      <w:pPr>
        <w:adjustRightInd w:val="0"/>
        <w:snapToGrid w:val="0"/>
        <w:spacing w:line="360" w:lineRule="auto"/>
        <w:rPr>
          <w:b/>
          <w:sz w:val="32"/>
          <w:highlight w:val="none"/>
        </w:rPr>
      </w:pPr>
    </w:p>
    <w:p>
      <w:pPr>
        <w:adjustRightInd w:val="0"/>
        <w:snapToGrid w:val="0"/>
        <w:spacing w:line="360" w:lineRule="auto"/>
        <w:rPr>
          <w:b/>
          <w:sz w:val="32"/>
          <w:highlight w:val="none"/>
        </w:rPr>
      </w:pPr>
      <w:r>
        <w:rPr>
          <w:b/>
          <w:sz w:val="32"/>
          <w:highlight w:val="none"/>
        </w:rPr>
        <w:tab/>
      </w:r>
      <w:r>
        <w:rPr>
          <w:b/>
          <w:sz w:val="32"/>
          <w:highlight w:val="none"/>
        </w:rPr>
        <w:t>签订地点：</w:t>
      </w:r>
      <w:r>
        <w:rPr>
          <w:bCs/>
          <w:sz w:val="32"/>
          <w:highlight w:val="none"/>
          <w:u w:val="single"/>
        </w:rPr>
        <w:t xml:space="preserve">               </w:t>
      </w:r>
      <w:r>
        <w:rPr>
          <w:bCs/>
          <w:sz w:val="32"/>
          <w:highlight w:val="none"/>
          <w:u w:val="single"/>
        </w:rPr>
        <w:tab/>
      </w:r>
      <w:r>
        <w:rPr>
          <w:bCs/>
          <w:sz w:val="32"/>
          <w:highlight w:val="none"/>
          <w:u w:val="single"/>
        </w:rPr>
        <w:tab/>
      </w:r>
      <w:r>
        <w:rPr>
          <w:bCs/>
          <w:sz w:val="32"/>
          <w:highlight w:val="none"/>
          <w:u w:val="single"/>
        </w:rPr>
        <w:tab/>
      </w:r>
      <w:r>
        <w:rPr>
          <w:rFonts w:eastAsia="楷体"/>
          <w:sz w:val="32"/>
          <w:highlight w:val="none"/>
          <w:u w:val="single"/>
        </w:rPr>
        <w:t xml:space="preserve">                  </w:t>
      </w:r>
    </w:p>
    <w:p>
      <w:pPr>
        <w:adjustRightInd w:val="0"/>
        <w:snapToGrid w:val="0"/>
        <w:spacing w:line="360" w:lineRule="auto"/>
        <w:rPr>
          <w:b/>
          <w:sz w:val="32"/>
          <w:highlight w:val="none"/>
        </w:rPr>
      </w:pPr>
    </w:p>
    <w:p>
      <w:pPr>
        <w:adjustRightInd w:val="0"/>
        <w:snapToGrid w:val="0"/>
        <w:spacing w:line="360" w:lineRule="auto"/>
        <w:rPr>
          <w:b/>
          <w:sz w:val="32"/>
          <w:highlight w:val="none"/>
        </w:rPr>
      </w:pPr>
      <w:r>
        <w:rPr>
          <w:b/>
          <w:sz w:val="32"/>
          <w:highlight w:val="none"/>
        </w:rPr>
        <w:tab/>
      </w:r>
      <w:r>
        <w:rPr>
          <w:b/>
          <w:sz w:val="32"/>
          <w:highlight w:val="none"/>
        </w:rPr>
        <w:t>有效期限：</w:t>
      </w:r>
      <w:r>
        <w:rPr>
          <w:b/>
          <w:sz w:val="32"/>
          <w:highlight w:val="none"/>
          <w:u w:val="single"/>
        </w:rPr>
        <w:t xml:space="preserve">    </w:t>
      </w:r>
      <w:r>
        <w:rPr>
          <w:b/>
          <w:sz w:val="32"/>
          <w:highlight w:val="none"/>
          <w:u w:val="single"/>
        </w:rPr>
        <w:tab/>
      </w:r>
      <w:r>
        <w:rPr>
          <w:b/>
          <w:sz w:val="32"/>
          <w:highlight w:val="none"/>
          <w:u w:val="single"/>
        </w:rPr>
        <w:tab/>
      </w:r>
      <w:r>
        <w:rPr>
          <w:b/>
          <w:sz w:val="32"/>
          <w:highlight w:val="none"/>
          <w:u w:val="single"/>
        </w:rPr>
        <w:tab/>
      </w:r>
      <w:r>
        <w:rPr>
          <w:b/>
          <w:sz w:val="32"/>
          <w:highlight w:val="none"/>
          <w:u w:val="single"/>
        </w:rPr>
        <w:tab/>
      </w:r>
      <w:r>
        <w:rPr>
          <w:b/>
          <w:sz w:val="32"/>
          <w:highlight w:val="none"/>
          <w:u w:val="single"/>
        </w:rPr>
        <w:tab/>
      </w:r>
      <w:r>
        <w:rPr>
          <w:b/>
          <w:sz w:val="32"/>
          <w:highlight w:val="none"/>
          <w:u w:val="single"/>
        </w:rPr>
        <w:tab/>
      </w:r>
      <w:r>
        <w:rPr>
          <w:b/>
          <w:sz w:val="32"/>
          <w:highlight w:val="none"/>
          <w:u w:val="single"/>
        </w:rPr>
        <w:tab/>
      </w:r>
      <w:r>
        <w:rPr>
          <w:b/>
          <w:sz w:val="32"/>
          <w:highlight w:val="none"/>
          <w:u w:val="single"/>
        </w:rPr>
        <w:tab/>
      </w:r>
      <w:r>
        <w:rPr>
          <w:b/>
          <w:sz w:val="32"/>
          <w:highlight w:val="none"/>
          <w:u w:val="single"/>
        </w:rPr>
        <w:tab/>
      </w:r>
      <w:r>
        <w:rPr>
          <w:rFonts w:eastAsia="楷体"/>
          <w:sz w:val="32"/>
          <w:highlight w:val="none"/>
          <w:u w:val="single"/>
        </w:rPr>
        <w:t xml:space="preserve">            </w:t>
      </w:r>
    </w:p>
    <w:p>
      <w:pPr>
        <w:adjustRightInd w:val="0"/>
        <w:snapToGrid w:val="0"/>
        <w:spacing w:line="360" w:lineRule="auto"/>
        <w:rPr>
          <w:b/>
          <w:sz w:val="32"/>
          <w:highlight w:val="none"/>
        </w:rPr>
      </w:pPr>
    </w:p>
    <w:p>
      <w:pPr>
        <w:adjustRightInd w:val="0"/>
        <w:snapToGrid w:val="0"/>
        <w:spacing w:line="360" w:lineRule="auto"/>
        <w:rPr>
          <w:b/>
          <w:sz w:val="32"/>
          <w:highlight w:val="none"/>
        </w:rPr>
      </w:pPr>
    </w:p>
    <w:p>
      <w:pPr>
        <w:adjustRightInd w:val="0"/>
        <w:snapToGrid w:val="0"/>
        <w:spacing w:line="360" w:lineRule="auto"/>
        <w:jc w:val="center"/>
        <w:rPr>
          <w:b/>
          <w:sz w:val="32"/>
          <w:highlight w:val="none"/>
        </w:rPr>
        <w:sectPr>
          <w:pgSz w:w="11907" w:h="16840"/>
          <w:pgMar w:top="1440" w:right="1080" w:bottom="1440" w:left="1080" w:header="851" w:footer="992" w:gutter="0"/>
          <w:cols w:space="720" w:num="1"/>
          <w:docGrid w:type="linesAndChars" w:linePitch="286" w:charSpace="0"/>
        </w:sectPr>
      </w:pPr>
    </w:p>
    <w:p>
      <w:pPr>
        <w:adjustRightInd w:val="0"/>
        <w:snapToGrid w:val="0"/>
        <w:spacing w:line="360" w:lineRule="auto"/>
        <w:rPr>
          <w:szCs w:val="21"/>
          <w:highlight w:val="none"/>
        </w:rPr>
      </w:pPr>
    </w:p>
    <w:p>
      <w:pPr>
        <w:adjustRightInd w:val="0"/>
        <w:snapToGrid w:val="0"/>
        <w:spacing w:line="360" w:lineRule="auto"/>
        <w:ind w:firstLine="600"/>
        <w:jc w:val="center"/>
        <w:rPr>
          <w:b/>
          <w:sz w:val="32"/>
          <w:szCs w:val="32"/>
          <w:highlight w:val="none"/>
        </w:rPr>
      </w:pPr>
      <w:r>
        <w:rPr>
          <w:b/>
          <w:sz w:val="32"/>
          <w:szCs w:val="32"/>
          <w:highlight w:val="none"/>
        </w:rPr>
        <w:t>技术咨询（委托）合同</w:t>
      </w:r>
    </w:p>
    <w:p>
      <w:pPr>
        <w:adjustRightInd w:val="0"/>
        <w:snapToGrid w:val="0"/>
        <w:spacing w:line="360" w:lineRule="auto"/>
        <w:ind w:firstLine="600"/>
        <w:jc w:val="center"/>
        <w:rPr>
          <w:szCs w:val="21"/>
          <w:highlight w:val="none"/>
        </w:rPr>
      </w:pPr>
    </w:p>
    <w:p>
      <w:pPr>
        <w:adjustRightInd w:val="0"/>
        <w:snapToGrid w:val="0"/>
        <w:spacing w:line="360" w:lineRule="auto"/>
        <w:ind w:firstLine="600"/>
        <w:rPr>
          <w:szCs w:val="21"/>
          <w:highlight w:val="none"/>
          <w:u w:val="single"/>
        </w:rPr>
      </w:pPr>
      <w:r>
        <w:rPr>
          <w:szCs w:val="21"/>
          <w:highlight w:val="none"/>
        </w:rPr>
        <w:t>委托方（甲方）：</w:t>
      </w:r>
      <w:r>
        <w:rPr>
          <w:snapToGrid w:val="0"/>
          <w:kern w:val="0"/>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adjustRightInd w:val="0"/>
        <w:snapToGrid w:val="0"/>
        <w:spacing w:line="360" w:lineRule="auto"/>
        <w:ind w:firstLine="600"/>
        <w:rPr>
          <w:snapToGrid w:val="0"/>
          <w:kern w:val="0"/>
          <w:szCs w:val="21"/>
          <w:highlight w:val="none"/>
          <w:u w:val="single"/>
        </w:rPr>
      </w:pPr>
      <w:r>
        <w:rPr>
          <w:szCs w:val="21"/>
          <w:highlight w:val="none"/>
        </w:rPr>
        <w:t>所 住 地：</w:t>
      </w:r>
      <w:r>
        <w:rPr>
          <w:szCs w:val="21"/>
          <w:highlight w:val="none"/>
          <w:u w:val="single"/>
        </w:rPr>
        <w:t xml:space="preserve">                                             </w:t>
      </w:r>
    </w:p>
    <w:p>
      <w:pPr>
        <w:adjustRightInd w:val="0"/>
        <w:snapToGrid w:val="0"/>
        <w:spacing w:line="360" w:lineRule="auto"/>
        <w:ind w:firstLine="600"/>
        <w:rPr>
          <w:szCs w:val="21"/>
          <w:highlight w:val="none"/>
        </w:rPr>
      </w:pPr>
      <w:r>
        <w:rPr>
          <w:szCs w:val="21"/>
          <w:highlight w:val="none"/>
        </w:rPr>
        <w:t>法定代表人：</w:t>
      </w:r>
      <w:r>
        <w:rPr>
          <w:szCs w:val="21"/>
          <w:highlight w:val="none"/>
          <w:u w:val="single"/>
        </w:rPr>
        <w:t xml:space="preserve">                                           </w:t>
      </w:r>
    </w:p>
    <w:p>
      <w:pPr>
        <w:adjustRightInd w:val="0"/>
        <w:snapToGrid w:val="0"/>
        <w:spacing w:line="360" w:lineRule="auto"/>
        <w:ind w:firstLine="600"/>
        <w:rPr>
          <w:szCs w:val="21"/>
          <w:highlight w:val="none"/>
        </w:rPr>
      </w:pPr>
      <w:r>
        <w:rPr>
          <w:szCs w:val="21"/>
          <w:highlight w:val="none"/>
        </w:rPr>
        <w:t>项目联系人：</w:t>
      </w:r>
      <w:r>
        <w:rPr>
          <w:szCs w:val="21"/>
          <w:highlight w:val="none"/>
          <w:u w:val="single"/>
        </w:rPr>
        <w:t xml:space="preserve">                                           </w:t>
      </w:r>
    </w:p>
    <w:p>
      <w:pPr>
        <w:adjustRightInd w:val="0"/>
        <w:snapToGrid w:val="0"/>
        <w:spacing w:line="360" w:lineRule="auto"/>
        <w:ind w:firstLine="600"/>
        <w:rPr>
          <w:szCs w:val="21"/>
          <w:highlight w:val="none"/>
          <w:u w:val="single"/>
        </w:rPr>
      </w:pPr>
      <w:r>
        <w:rPr>
          <w:szCs w:val="21"/>
          <w:highlight w:val="none"/>
        </w:rPr>
        <w:t>联系方式：</w:t>
      </w:r>
      <w:r>
        <w:rPr>
          <w:szCs w:val="21"/>
          <w:highlight w:val="none"/>
          <w:u w:val="single"/>
        </w:rPr>
        <w:t xml:space="preserve">                                             </w:t>
      </w:r>
    </w:p>
    <w:p>
      <w:pPr>
        <w:pStyle w:val="13"/>
        <w:spacing w:line="360" w:lineRule="auto"/>
        <w:ind w:firstLine="630" w:firstLineChars="300"/>
        <w:rPr>
          <w:szCs w:val="21"/>
          <w:highlight w:val="none"/>
          <w:u w:val="single"/>
        </w:rPr>
      </w:pPr>
      <w:r>
        <w:rPr>
          <w:szCs w:val="21"/>
          <w:highlight w:val="none"/>
        </w:rPr>
        <w:t>通讯地址：</w:t>
      </w:r>
      <w:r>
        <w:rPr>
          <w:szCs w:val="21"/>
          <w:highlight w:val="none"/>
          <w:u w:val="single"/>
        </w:rPr>
        <w:t xml:space="preserve">                                             </w:t>
      </w:r>
    </w:p>
    <w:p>
      <w:pPr>
        <w:adjustRightInd w:val="0"/>
        <w:snapToGrid w:val="0"/>
        <w:spacing w:line="360" w:lineRule="auto"/>
        <w:ind w:firstLine="600"/>
        <w:rPr>
          <w:szCs w:val="21"/>
          <w:highlight w:val="none"/>
          <w:u w:val="single"/>
        </w:rPr>
      </w:pPr>
      <w:r>
        <w:rPr>
          <w:szCs w:val="21"/>
          <w:highlight w:val="none"/>
        </w:rPr>
        <w:t>邮编：</w:t>
      </w:r>
      <w:r>
        <w:rPr>
          <w:szCs w:val="21"/>
          <w:highlight w:val="none"/>
          <w:u w:val="single"/>
        </w:rPr>
        <w:t xml:space="preserve">                                                 </w:t>
      </w:r>
    </w:p>
    <w:p>
      <w:pPr>
        <w:adjustRightInd w:val="0"/>
        <w:snapToGrid w:val="0"/>
        <w:spacing w:line="360" w:lineRule="auto"/>
        <w:ind w:firstLine="600"/>
        <w:rPr>
          <w:szCs w:val="21"/>
          <w:highlight w:val="none"/>
          <w:u w:val="single"/>
        </w:rPr>
      </w:pPr>
      <w:r>
        <w:rPr>
          <w:szCs w:val="21"/>
          <w:highlight w:val="none"/>
        </w:rPr>
        <w:t>电话：</w:t>
      </w:r>
      <w:r>
        <w:rPr>
          <w:szCs w:val="21"/>
          <w:highlight w:val="none"/>
          <w:u w:val="single"/>
        </w:rPr>
        <w:t xml:space="preserve">        </w:t>
      </w:r>
      <w:r>
        <w:rPr>
          <w:szCs w:val="21"/>
          <w:highlight w:val="none"/>
        </w:rPr>
        <w:t>传真：</w:t>
      </w:r>
      <w:r>
        <w:rPr>
          <w:szCs w:val="21"/>
          <w:highlight w:val="none"/>
          <w:u w:val="single"/>
        </w:rPr>
        <w:t xml:space="preserve">                   </w:t>
      </w:r>
    </w:p>
    <w:p>
      <w:pPr>
        <w:adjustRightInd w:val="0"/>
        <w:snapToGrid w:val="0"/>
        <w:spacing w:line="360" w:lineRule="auto"/>
        <w:ind w:firstLine="600"/>
        <w:rPr>
          <w:szCs w:val="21"/>
          <w:highlight w:val="none"/>
        </w:rPr>
      </w:pPr>
      <w:r>
        <w:rPr>
          <w:szCs w:val="21"/>
          <w:highlight w:val="none"/>
        </w:rPr>
        <w:t>电子信箱：</w:t>
      </w:r>
      <w:r>
        <w:rPr>
          <w:snapToGrid w:val="0"/>
          <w:kern w:val="0"/>
          <w:szCs w:val="21"/>
          <w:highlight w:val="none"/>
          <w:u w:val="single"/>
        </w:rPr>
        <w:t xml:space="preserve"> </w:t>
      </w:r>
      <w:r>
        <w:rPr>
          <w:szCs w:val="21"/>
          <w:highlight w:val="none"/>
          <w:u w:val="single"/>
        </w:rPr>
        <w:t xml:space="preserve">                                             </w:t>
      </w:r>
    </w:p>
    <w:p>
      <w:pPr>
        <w:adjustRightInd w:val="0"/>
        <w:snapToGrid w:val="0"/>
        <w:spacing w:line="360" w:lineRule="auto"/>
        <w:ind w:firstLine="600"/>
        <w:rPr>
          <w:szCs w:val="21"/>
          <w:highlight w:val="none"/>
        </w:rPr>
      </w:pPr>
      <w:r>
        <w:rPr>
          <w:szCs w:val="21"/>
          <w:highlight w:val="none"/>
        </w:rPr>
        <w:t>受托方（乙方）：</w:t>
      </w:r>
      <w:r>
        <w:rPr>
          <w:rFonts w:hint="eastAsia"/>
          <w:b/>
          <w:bCs/>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360" w:lineRule="auto"/>
        <w:ind w:firstLine="600"/>
        <w:rPr>
          <w:szCs w:val="21"/>
          <w:highlight w:val="none"/>
        </w:rPr>
      </w:pPr>
      <w:r>
        <w:rPr>
          <w:szCs w:val="21"/>
          <w:highlight w:val="none"/>
        </w:rPr>
        <w:t>所 住 地：</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360" w:lineRule="auto"/>
        <w:ind w:firstLine="600"/>
        <w:rPr>
          <w:szCs w:val="21"/>
          <w:highlight w:val="none"/>
        </w:rPr>
      </w:pPr>
      <w:r>
        <w:rPr>
          <w:szCs w:val="21"/>
          <w:highlight w:val="none"/>
        </w:rPr>
        <w:t>法定代表人：</w:t>
      </w:r>
      <w:r>
        <w:rPr>
          <w:snapToGrid w:val="0"/>
          <w:kern w:val="0"/>
          <w:szCs w:val="21"/>
          <w:highlight w:val="none"/>
          <w:u w:val="single"/>
        </w:rPr>
        <w:t xml:space="preserve">                                            </w:t>
      </w:r>
    </w:p>
    <w:p>
      <w:pPr>
        <w:adjustRightInd w:val="0"/>
        <w:snapToGrid w:val="0"/>
        <w:spacing w:line="360" w:lineRule="auto"/>
        <w:ind w:firstLine="600"/>
        <w:rPr>
          <w:snapToGrid w:val="0"/>
          <w:kern w:val="0"/>
          <w:szCs w:val="21"/>
          <w:highlight w:val="none"/>
          <w:u w:val="single"/>
        </w:rPr>
      </w:pPr>
      <w:r>
        <w:rPr>
          <w:szCs w:val="21"/>
          <w:highlight w:val="none"/>
        </w:rPr>
        <w:t>项目联系人：</w:t>
      </w:r>
      <w:r>
        <w:rPr>
          <w:szCs w:val="21"/>
          <w:highlight w:val="none"/>
          <w:u w:val="single"/>
        </w:rPr>
        <w:t xml:space="preserve">  </w:t>
      </w:r>
      <w:r>
        <w:rPr>
          <w:snapToGrid w:val="0"/>
          <w:kern w:val="0"/>
          <w:szCs w:val="21"/>
          <w:highlight w:val="none"/>
          <w:u w:val="single"/>
        </w:rPr>
        <w:t xml:space="preserve"> </w:t>
      </w:r>
      <w:r>
        <w:rPr>
          <w:szCs w:val="21"/>
          <w:highlight w:val="none"/>
          <w:u w:val="single"/>
        </w:rPr>
        <w:t xml:space="preserve">                                        </w:t>
      </w:r>
      <w:r>
        <w:rPr>
          <w:rFonts w:hint="eastAsia"/>
          <w:szCs w:val="21"/>
          <w:highlight w:val="none"/>
          <w:u w:val="single"/>
        </w:rPr>
        <w:t xml:space="preserve"> </w:t>
      </w:r>
    </w:p>
    <w:p>
      <w:pPr>
        <w:adjustRightInd w:val="0"/>
        <w:snapToGrid w:val="0"/>
        <w:spacing w:line="360" w:lineRule="auto"/>
        <w:ind w:firstLine="600"/>
        <w:rPr>
          <w:szCs w:val="21"/>
          <w:highlight w:val="none"/>
          <w:u w:val="single"/>
        </w:rPr>
      </w:pPr>
      <w:r>
        <w:rPr>
          <w:szCs w:val="21"/>
          <w:highlight w:val="none"/>
        </w:rPr>
        <w:t>联系方式：</w:t>
      </w:r>
      <w:r>
        <w:rPr>
          <w:szCs w:val="21"/>
          <w:highlight w:val="none"/>
          <w:u w:val="single"/>
        </w:rPr>
        <w:t xml:space="preserve">    </w:t>
      </w:r>
      <w:r>
        <w:rPr>
          <w:b/>
          <w:bCs/>
          <w:snapToGrid w:val="0"/>
          <w:kern w:val="0"/>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adjustRightInd w:val="0"/>
        <w:snapToGrid w:val="0"/>
        <w:spacing w:line="360" w:lineRule="auto"/>
        <w:ind w:left="596" w:leftChars="284"/>
        <w:rPr>
          <w:szCs w:val="21"/>
          <w:highlight w:val="none"/>
        </w:rPr>
      </w:pPr>
      <w:r>
        <w:rPr>
          <w:szCs w:val="21"/>
          <w:highlight w:val="none"/>
        </w:rPr>
        <w:t>通讯地址：</w:t>
      </w:r>
      <w:r>
        <w:rPr>
          <w:rFonts w:hint="eastAsia"/>
          <w:szCs w:val="21"/>
          <w:highlight w:val="none"/>
        </w:rPr>
        <w:t xml:space="preserve">    </w:t>
      </w:r>
      <w:r>
        <w:rPr>
          <w:snapToGrid w:val="0"/>
          <w:kern w:val="0"/>
          <w:szCs w:val="21"/>
          <w:highlight w:val="none"/>
          <w:u w:val="single"/>
        </w:rPr>
        <w:t xml:space="preserve">                </w:t>
      </w:r>
      <w:r>
        <w:rPr>
          <w:szCs w:val="21"/>
          <w:highlight w:val="none"/>
        </w:rPr>
        <w:t xml:space="preserve">  邮编：</w:t>
      </w:r>
      <w:r>
        <w:rPr>
          <w:b/>
          <w:bCs/>
          <w:snapToGrid w:val="0"/>
          <w:kern w:val="0"/>
          <w:szCs w:val="21"/>
          <w:highlight w:val="none"/>
          <w:u w:val="single"/>
        </w:rPr>
        <w:t xml:space="preserve"> </w:t>
      </w:r>
      <w:r>
        <w:rPr>
          <w:rFonts w:hint="eastAsia"/>
          <w:b/>
          <w:bCs/>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360" w:lineRule="auto"/>
        <w:ind w:firstLine="600"/>
        <w:rPr>
          <w:szCs w:val="21"/>
          <w:highlight w:val="none"/>
        </w:rPr>
      </w:pPr>
      <w:r>
        <w:rPr>
          <w:szCs w:val="21"/>
          <w:highlight w:val="none"/>
        </w:rPr>
        <w:t>电话：</w:t>
      </w:r>
      <w:r>
        <w:rPr>
          <w:b/>
          <w:bCs/>
          <w:snapToGrid w:val="0"/>
          <w:kern w:val="0"/>
          <w:szCs w:val="21"/>
          <w:highlight w:val="none"/>
          <w:u w:val="single"/>
        </w:rPr>
        <w:t xml:space="preserve"> </w:t>
      </w:r>
      <w:r>
        <w:rPr>
          <w:snapToGrid w:val="0"/>
          <w:kern w:val="0"/>
          <w:szCs w:val="21"/>
          <w:highlight w:val="none"/>
          <w:u w:val="single"/>
        </w:rPr>
        <w:t xml:space="preserve">   </w:t>
      </w:r>
      <w:r>
        <w:rPr>
          <w:szCs w:val="21"/>
          <w:highlight w:val="none"/>
        </w:rPr>
        <w:t xml:space="preserve"> 传真：</w:t>
      </w:r>
      <w:r>
        <w:rPr>
          <w:rFonts w:hint="eastAsia"/>
          <w:b/>
          <w:bCs/>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360" w:lineRule="auto"/>
        <w:ind w:firstLine="600"/>
        <w:rPr>
          <w:szCs w:val="21"/>
          <w:highlight w:val="none"/>
        </w:rPr>
      </w:pPr>
      <w:r>
        <w:rPr>
          <w:szCs w:val="21"/>
          <w:highlight w:val="none"/>
        </w:rPr>
        <w:t>电子信箱：</w:t>
      </w:r>
      <w:r>
        <w:rPr>
          <w:rFonts w:hint="eastAsia"/>
          <w:b/>
          <w:bCs/>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360" w:lineRule="auto"/>
        <w:ind w:firstLine="420" w:firstLineChars="200"/>
        <w:rPr>
          <w:szCs w:val="21"/>
          <w:highlight w:val="none"/>
        </w:rPr>
      </w:pPr>
      <w:r>
        <w:rPr>
          <w:szCs w:val="21"/>
          <w:highlight w:val="none"/>
        </w:rPr>
        <w:t>本合同甲方委托乙方完成</w:t>
      </w:r>
      <w:r>
        <w:rPr>
          <w:szCs w:val="21"/>
          <w:highlight w:val="none"/>
          <w:u w:val="single"/>
        </w:rPr>
        <w:t xml:space="preserve"> </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zCs w:val="21"/>
          <w:highlight w:val="none"/>
        </w:rPr>
        <w:t>项目，并支付</w:t>
      </w:r>
      <w:r>
        <w:rPr>
          <w:rFonts w:hint="eastAsia"/>
          <w:szCs w:val="21"/>
          <w:highlight w:val="none"/>
        </w:rPr>
        <w:t>技术服务</w:t>
      </w:r>
      <w:r>
        <w:rPr>
          <w:szCs w:val="21"/>
          <w:highlight w:val="none"/>
        </w:rPr>
        <w:t>经费和报酬，乙方接受委托并进行此项研究工作。双方经过平等协商，在真实、充分地表达各自意愿的基础上，根据《中华人民共和国</w:t>
      </w:r>
      <w:r>
        <w:rPr>
          <w:rFonts w:hint="eastAsia"/>
          <w:szCs w:val="21"/>
          <w:highlight w:val="none"/>
        </w:rPr>
        <w:t>民法典</w:t>
      </w:r>
      <w:r>
        <w:rPr>
          <w:szCs w:val="21"/>
          <w:highlight w:val="none"/>
        </w:rPr>
        <w:t>》的规定，达成如下协议，并由双方共同恪守。</w:t>
      </w:r>
    </w:p>
    <w:p>
      <w:pPr>
        <w:adjustRightInd w:val="0"/>
        <w:snapToGrid w:val="0"/>
        <w:spacing w:line="560" w:lineRule="exact"/>
        <w:ind w:firstLine="426" w:firstLineChars="202"/>
        <w:outlineLvl w:val="0"/>
        <w:rPr>
          <w:szCs w:val="21"/>
          <w:highlight w:val="none"/>
        </w:rPr>
      </w:pPr>
      <w:bookmarkStart w:id="75" w:name="_Toc165389715"/>
      <w:bookmarkStart w:id="76" w:name="_Toc165389664"/>
      <w:r>
        <w:rPr>
          <w:b/>
          <w:szCs w:val="21"/>
          <w:highlight w:val="none"/>
        </w:rPr>
        <w:t xml:space="preserve">第一条  </w:t>
      </w:r>
      <w:r>
        <w:rPr>
          <w:snapToGrid w:val="0"/>
          <w:kern w:val="0"/>
          <w:szCs w:val="21"/>
          <w:highlight w:val="none"/>
        </w:rPr>
        <w:t>甲方委托</w:t>
      </w:r>
      <w:r>
        <w:rPr>
          <w:szCs w:val="21"/>
          <w:highlight w:val="none"/>
        </w:rPr>
        <w:t>乙方进行研究的内容、要求和方式：</w:t>
      </w:r>
      <w:bookmarkEnd w:id="75"/>
      <w:bookmarkEnd w:id="76"/>
    </w:p>
    <w:p>
      <w:pPr>
        <w:adjustRightInd w:val="0"/>
        <w:snapToGrid w:val="0"/>
        <w:spacing w:line="560" w:lineRule="exact"/>
        <w:ind w:firstLine="424" w:firstLineChars="202"/>
        <w:rPr>
          <w:snapToGrid w:val="0"/>
          <w:kern w:val="0"/>
          <w:szCs w:val="21"/>
          <w:highlight w:val="none"/>
        </w:rPr>
      </w:pPr>
      <w:r>
        <w:rPr>
          <w:snapToGrid w:val="0"/>
          <w:kern w:val="0"/>
          <w:szCs w:val="21"/>
          <w:highlight w:val="none"/>
        </w:rPr>
        <w:t>1.以</w:t>
      </w:r>
      <w:r>
        <w:rPr>
          <w:szCs w:val="21"/>
          <w:highlight w:val="none"/>
          <w:u w:val="single"/>
        </w:rPr>
        <w:t xml:space="preserve"> </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rPr>
        <w:t>为对象，按照有关规定和要求，</w:t>
      </w:r>
      <w:r>
        <w:rPr>
          <w:szCs w:val="21"/>
          <w:highlight w:val="none"/>
          <w:u w:val="single"/>
        </w:rPr>
        <w:t xml:space="preserve"> </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rPr>
        <w:t>，主要内容包括：</w:t>
      </w:r>
    </w:p>
    <w:p>
      <w:pPr>
        <w:adjustRightInd w:val="0"/>
        <w:snapToGrid w:val="0"/>
        <w:spacing w:line="560" w:lineRule="exact"/>
        <w:ind w:firstLine="426" w:firstLineChars="202"/>
        <w:rPr>
          <w:b/>
          <w:snapToGrid w:val="0"/>
          <w:kern w:val="0"/>
          <w:szCs w:val="21"/>
          <w:highlight w:val="none"/>
          <w:u w:val="single"/>
        </w:rPr>
      </w:pPr>
      <w:r>
        <w:rPr>
          <w:b/>
          <w:snapToGrid w:val="0"/>
          <w:kern w:val="0"/>
          <w:szCs w:val="21"/>
          <w:highlight w:val="none"/>
          <w:u w:val="single"/>
        </w:rPr>
        <w:t>（1）</w:t>
      </w:r>
      <w:r>
        <w:rPr>
          <w:rFonts w:hint="eastAsia"/>
          <w:b/>
          <w:snapToGrid w:val="0"/>
          <w:kern w:val="0"/>
          <w:szCs w:val="21"/>
          <w:highlight w:val="none"/>
          <w:u w:val="single"/>
        </w:rPr>
        <w:t xml:space="preserve">                                                                   </w:t>
      </w:r>
      <w:r>
        <w:rPr>
          <w:b/>
          <w:snapToGrid w:val="0"/>
          <w:kern w:val="0"/>
          <w:szCs w:val="21"/>
          <w:highlight w:val="none"/>
          <w:u w:val="single"/>
        </w:rPr>
        <w:t>。</w:t>
      </w:r>
    </w:p>
    <w:p>
      <w:pPr>
        <w:adjustRightInd w:val="0"/>
        <w:snapToGrid w:val="0"/>
        <w:spacing w:line="560" w:lineRule="exact"/>
        <w:ind w:firstLine="426" w:firstLineChars="202"/>
        <w:rPr>
          <w:b/>
          <w:bCs/>
          <w:snapToGrid w:val="0"/>
          <w:kern w:val="0"/>
          <w:szCs w:val="21"/>
          <w:highlight w:val="none"/>
          <w:u w:val="single"/>
        </w:rPr>
      </w:pPr>
      <w:r>
        <w:rPr>
          <w:b/>
          <w:bCs/>
          <w:snapToGrid w:val="0"/>
          <w:kern w:val="0"/>
          <w:szCs w:val="21"/>
          <w:highlight w:val="none"/>
          <w:u w:val="single"/>
        </w:rPr>
        <w:t>（2）</w:t>
      </w:r>
      <w:r>
        <w:rPr>
          <w:rFonts w:hint="eastAsia"/>
          <w:b/>
          <w:bCs/>
          <w:snapToGrid w:val="0"/>
          <w:kern w:val="0"/>
          <w:szCs w:val="21"/>
          <w:highlight w:val="none"/>
          <w:u w:val="single"/>
        </w:rPr>
        <w:t xml:space="preserve">                                                                   </w:t>
      </w:r>
      <w:r>
        <w:rPr>
          <w:b/>
          <w:bCs/>
          <w:snapToGrid w:val="0"/>
          <w:kern w:val="0"/>
          <w:szCs w:val="21"/>
          <w:highlight w:val="none"/>
          <w:u w:val="single"/>
        </w:rPr>
        <w:t>。</w:t>
      </w:r>
    </w:p>
    <w:p>
      <w:pPr>
        <w:adjustRightInd w:val="0"/>
        <w:snapToGrid w:val="0"/>
        <w:spacing w:line="560" w:lineRule="exact"/>
        <w:ind w:firstLine="424" w:firstLineChars="202"/>
        <w:rPr>
          <w:szCs w:val="21"/>
          <w:highlight w:val="none"/>
        </w:rPr>
      </w:pPr>
      <w:r>
        <w:rPr>
          <w:szCs w:val="21"/>
          <w:highlight w:val="none"/>
        </w:rPr>
        <w:t>2.要求：</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6" w:firstLineChars="202"/>
        <w:outlineLvl w:val="0"/>
        <w:rPr>
          <w:szCs w:val="21"/>
          <w:highlight w:val="none"/>
        </w:rPr>
      </w:pPr>
      <w:bookmarkStart w:id="77" w:name="_Toc165389665"/>
      <w:bookmarkStart w:id="78" w:name="_Toc165389716"/>
      <w:r>
        <w:rPr>
          <w:b/>
          <w:szCs w:val="21"/>
          <w:highlight w:val="none"/>
        </w:rPr>
        <w:t xml:space="preserve">第二条  </w:t>
      </w:r>
      <w:r>
        <w:rPr>
          <w:szCs w:val="21"/>
          <w:highlight w:val="none"/>
        </w:rPr>
        <w:t>乙方应按下列进度完成研究工作：</w:t>
      </w:r>
      <w:bookmarkEnd w:id="77"/>
      <w:bookmarkEnd w:id="78"/>
    </w:p>
    <w:p>
      <w:pPr>
        <w:spacing w:line="520" w:lineRule="atLeast"/>
        <w:ind w:firstLine="420" w:firstLineChars="200"/>
        <w:rPr>
          <w:snapToGrid w:val="0"/>
          <w:kern w:val="0"/>
          <w:szCs w:val="21"/>
          <w:highlight w:val="none"/>
        </w:rPr>
      </w:pPr>
      <w:r>
        <w:rPr>
          <w:snapToGrid w:val="0"/>
          <w:kern w:val="0"/>
          <w:szCs w:val="21"/>
          <w:highlight w:val="none"/>
        </w:rPr>
        <w:t>1．技术服务地点：</w:t>
      </w:r>
      <w:r>
        <w:rPr>
          <w:b/>
          <w:bCs/>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spacing w:line="520" w:lineRule="atLeast"/>
        <w:ind w:right="-21" w:rightChars="-10" w:firstLine="420" w:firstLineChars="200"/>
        <w:rPr>
          <w:snapToGrid w:val="0"/>
          <w:kern w:val="0"/>
          <w:szCs w:val="21"/>
          <w:highlight w:val="none"/>
        </w:rPr>
      </w:pPr>
      <w:r>
        <w:rPr>
          <w:snapToGrid w:val="0"/>
          <w:kern w:val="0"/>
          <w:szCs w:val="21"/>
          <w:highlight w:val="none"/>
        </w:rPr>
        <w:t>2．技术服务期限：</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spacing w:line="520" w:lineRule="atLeast"/>
        <w:ind w:right="-21" w:rightChars="-10" w:firstLine="420" w:firstLineChars="200"/>
        <w:rPr>
          <w:b/>
          <w:bCs/>
          <w:snapToGrid w:val="0"/>
          <w:kern w:val="0"/>
          <w:szCs w:val="21"/>
          <w:highlight w:val="none"/>
          <w:u w:val="single"/>
        </w:rPr>
      </w:pPr>
      <w:r>
        <w:rPr>
          <w:snapToGrid w:val="0"/>
          <w:kern w:val="0"/>
          <w:szCs w:val="21"/>
          <w:highlight w:val="none"/>
        </w:rPr>
        <w:t>3．技术服务进度：</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6" w:firstLineChars="202"/>
        <w:outlineLvl w:val="0"/>
        <w:rPr>
          <w:b/>
          <w:szCs w:val="21"/>
          <w:highlight w:val="none"/>
        </w:rPr>
      </w:pPr>
      <w:bookmarkStart w:id="79" w:name="_Toc165389666"/>
      <w:bookmarkStart w:id="80" w:name="_Toc165389717"/>
      <w:r>
        <w:rPr>
          <w:b/>
          <w:szCs w:val="21"/>
          <w:highlight w:val="none"/>
        </w:rPr>
        <w:t xml:space="preserve">第三条  </w:t>
      </w:r>
      <w:r>
        <w:rPr>
          <w:snapToGrid w:val="0"/>
          <w:kern w:val="0"/>
          <w:szCs w:val="21"/>
          <w:highlight w:val="none"/>
        </w:rPr>
        <w:t>为保证乙方有效进行技术服务工作，</w:t>
      </w:r>
      <w:r>
        <w:rPr>
          <w:szCs w:val="21"/>
          <w:highlight w:val="none"/>
        </w:rPr>
        <w:t>甲方应向乙方提供的技术资料及协作事项如下：</w:t>
      </w:r>
      <w:bookmarkEnd w:id="79"/>
      <w:bookmarkEnd w:id="80"/>
    </w:p>
    <w:p>
      <w:pPr>
        <w:tabs>
          <w:tab w:val="left" w:pos="710"/>
        </w:tabs>
        <w:adjustRightInd w:val="0"/>
        <w:snapToGrid w:val="0"/>
        <w:spacing w:line="560" w:lineRule="exact"/>
        <w:ind w:firstLine="420" w:firstLineChars="200"/>
        <w:rPr>
          <w:szCs w:val="21"/>
          <w:highlight w:val="none"/>
        </w:rPr>
      </w:pPr>
      <w:r>
        <w:rPr>
          <w:szCs w:val="21"/>
          <w:highlight w:val="none"/>
        </w:rPr>
        <w:t>1.提供技术资料</w:t>
      </w:r>
    </w:p>
    <w:p>
      <w:pPr>
        <w:tabs>
          <w:tab w:val="left" w:pos="710"/>
        </w:tabs>
        <w:adjustRightInd w:val="0"/>
        <w:snapToGrid w:val="0"/>
        <w:spacing w:line="560" w:lineRule="exact"/>
        <w:ind w:firstLine="420" w:firstLineChars="200"/>
        <w:rPr>
          <w:snapToGrid w:val="0"/>
          <w:kern w:val="0"/>
          <w:szCs w:val="21"/>
          <w:highlight w:val="none"/>
          <w:u w:val="single"/>
        </w:rPr>
      </w:pP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tabs>
          <w:tab w:val="left" w:pos="710"/>
        </w:tabs>
        <w:adjustRightInd w:val="0"/>
        <w:snapToGrid w:val="0"/>
        <w:spacing w:line="560" w:lineRule="exact"/>
        <w:ind w:firstLine="420" w:firstLineChars="200"/>
        <w:rPr>
          <w:szCs w:val="21"/>
          <w:highlight w:val="none"/>
        </w:rPr>
      </w:pPr>
      <w:r>
        <w:rPr>
          <w:szCs w:val="21"/>
          <w:highlight w:val="none"/>
        </w:rPr>
        <w:t>2.提供工作条件</w:t>
      </w:r>
    </w:p>
    <w:p>
      <w:pPr>
        <w:tabs>
          <w:tab w:val="left" w:pos="710"/>
        </w:tabs>
        <w:adjustRightInd w:val="0"/>
        <w:snapToGrid w:val="0"/>
        <w:spacing w:line="560" w:lineRule="exact"/>
        <w:ind w:firstLine="420" w:firstLineChars="200"/>
        <w:rPr>
          <w:szCs w:val="21"/>
          <w:highlight w:val="none"/>
        </w:rPr>
      </w:pPr>
      <w:r>
        <w:rPr>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6" w:firstLineChars="202"/>
        <w:outlineLvl w:val="0"/>
        <w:rPr>
          <w:szCs w:val="21"/>
          <w:highlight w:val="none"/>
        </w:rPr>
      </w:pPr>
      <w:bookmarkStart w:id="81" w:name="_Toc165389667"/>
      <w:bookmarkStart w:id="82" w:name="_Toc165389718"/>
      <w:r>
        <w:rPr>
          <w:b/>
          <w:szCs w:val="21"/>
          <w:highlight w:val="none"/>
        </w:rPr>
        <w:t xml:space="preserve">第四条  </w:t>
      </w:r>
      <w:r>
        <w:rPr>
          <w:szCs w:val="21"/>
          <w:highlight w:val="none"/>
        </w:rPr>
        <w:t>甲方</w:t>
      </w:r>
      <w:r>
        <w:rPr>
          <w:snapToGrid w:val="0"/>
          <w:kern w:val="0"/>
          <w:szCs w:val="21"/>
          <w:highlight w:val="none"/>
        </w:rPr>
        <w:t>向乙方</w:t>
      </w:r>
      <w:r>
        <w:rPr>
          <w:szCs w:val="21"/>
          <w:highlight w:val="none"/>
        </w:rPr>
        <w:t>应按以下方式支付研究费用和报酬：</w:t>
      </w:r>
      <w:bookmarkEnd w:id="81"/>
      <w:bookmarkEnd w:id="82"/>
    </w:p>
    <w:p>
      <w:pPr>
        <w:adjustRightInd w:val="0"/>
        <w:snapToGrid w:val="0"/>
        <w:spacing w:line="560" w:lineRule="exact"/>
        <w:ind w:left="-2" w:leftChars="-1" w:firstLine="424" w:firstLineChars="202"/>
        <w:rPr>
          <w:b/>
          <w:bCs/>
          <w:szCs w:val="21"/>
          <w:highlight w:val="none"/>
        </w:rPr>
      </w:pPr>
      <w:r>
        <w:rPr>
          <w:szCs w:val="21"/>
          <w:highlight w:val="none"/>
        </w:rPr>
        <w:t>1.研究经费和报酬总额：</w:t>
      </w:r>
      <w:r>
        <w:rPr>
          <w:b/>
          <w:bCs/>
          <w:snapToGrid w:val="0"/>
          <w:kern w:val="0"/>
          <w:szCs w:val="21"/>
          <w:highlight w:val="none"/>
          <w:u w:val="single"/>
        </w:rPr>
        <w:t xml:space="preserve"> </w:t>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ab/>
      </w:r>
      <w:r>
        <w:rPr>
          <w:b/>
          <w:bCs/>
          <w:snapToGrid w:val="0"/>
          <w:kern w:val="0"/>
          <w:szCs w:val="21"/>
          <w:highlight w:val="none"/>
          <w:u w:val="single"/>
        </w:rPr>
        <w:t>。</w:t>
      </w:r>
    </w:p>
    <w:p>
      <w:pPr>
        <w:spacing w:line="500" w:lineRule="exact"/>
        <w:ind w:firstLine="560"/>
        <w:rPr>
          <w:rFonts w:eastAsia="仿宋_GB2312"/>
          <w:szCs w:val="21"/>
          <w:highlight w:val="none"/>
        </w:rPr>
      </w:pPr>
      <w:r>
        <w:rPr>
          <w:rFonts w:eastAsia="仿宋_GB2312"/>
          <w:szCs w:val="21"/>
          <w:highlight w:val="none"/>
        </w:rPr>
        <w:t>2.技术咨询报酬由甲方</w:t>
      </w:r>
      <w:r>
        <w:rPr>
          <w:rFonts w:eastAsia="仿宋_GB2312"/>
          <w:b/>
          <w:szCs w:val="21"/>
          <w:highlight w:val="none"/>
          <w:u w:val="single"/>
        </w:rPr>
        <w:t xml:space="preserve"> </w:t>
      </w:r>
      <w:r>
        <w:rPr>
          <w:rFonts w:hint="eastAsia" w:eastAsia="仿宋_GB2312"/>
          <w:b/>
          <w:szCs w:val="21"/>
          <w:highlight w:val="none"/>
          <w:u w:val="single"/>
        </w:rPr>
        <w:t xml:space="preserve">     </w:t>
      </w:r>
      <w:r>
        <w:rPr>
          <w:rFonts w:eastAsia="仿宋_GB2312"/>
          <w:b/>
          <w:szCs w:val="21"/>
          <w:highlight w:val="none"/>
          <w:u w:val="single"/>
        </w:rPr>
        <w:t xml:space="preserve"> </w:t>
      </w:r>
      <w:r>
        <w:rPr>
          <w:rFonts w:eastAsia="仿宋_GB2312"/>
          <w:szCs w:val="21"/>
          <w:highlight w:val="none"/>
        </w:rPr>
        <w:t>支付乙方。</w:t>
      </w:r>
    </w:p>
    <w:p>
      <w:pPr>
        <w:spacing w:line="500" w:lineRule="exact"/>
        <w:ind w:firstLine="560"/>
        <w:rPr>
          <w:b/>
          <w:szCs w:val="21"/>
          <w:highlight w:val="none"/>
          <w:u w:val="single"/>
        </w:rPr>
      </w:pPr>
      <w:r>
        <w:rPr>
          <w:rFonts w:eastAsia="仿宋_GB2312"/>
          <w:szCs w:val="21"/>
          <w:highlight w:val="none"/>
        </w:rPr>
        <w:t>3.技术咨询研究费使用：本合同费用</w:t>
      </w:r>
      <w:r>
        <w:rPr>
          <w:rFonts w:eastAsia="仿宋_GB2312"/>
          <w:b/>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b/>
          <w:szCs w:val="21"/>
          <w:highlight w:val="none"/>
          <w:u w:val="single"/>
        </w:rPr>
        <w:t>。</w:t>
      </w:r>
    </w:p>
    <w:p>
      <w:pPr>
        <w:spacing w:line="500" w:lineRule="exact"/>
        <w:ind w:firstLine="420" w:firstLineChars="200"/>
        <w:rPr>
          <w:szCs w:val="21"/>
          <w:highlight w:val="none"/>
        </w:rPr>
      </w:pPr>
      <w:r>
        <w:rPr>
          <w:szCs w:val="21"/>
          <w:highlight w:val="none"/>
        </w:rPr>
        <w:t>具体支付方式和时间如下：</w:t>
      </w:r>
      <w:r>
        <w:rPr>
          <w:rFonts w:eastAsia="仿宋_GB2312"/>
          <w:b/>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b/>
          <w:szCs w:val="21"/>
          <w:highlight w:val="none"/>
          <w:u w:val="single"/>
        </w:rPr>
        <w:t>。</w:t>
      </w:r>
    </w:p>
    <w:p>
      <w:pPr>
        <w:tabs>
          <w:tab w:val="left" w:pos="1262"/>
        </w:tabs>
        <w:adjustRightInd w:val="0"/>
        <w:snapToGrid w:val="0"/>
        <w:spacing w:line="560" w:lineRule="exact"/>
        <w:ind w:firstLine="424" w:firstLineChars="202"/>
        <w:rPr>
          <w:szCs w:val="21"/>
          <w:highlight w:val="none"/>
        </w:rPr>
      </w:pPr>
      <w:r>
        <w:rPr>
          <w:szCs w:val="21"/>
          <w:highlight w:val="none"/>
        </w:rPr>
        <w:t>乙方开户银行名称、地址和账号为：</w:t>
      </w:r>
    </w:p>
    <w:p>
      <w:pPr>
        <w:tabs>
          <w:tab w:val="left" w:pos="1262"/>
        </w:tabs>
        <w:adjustRightInd w:val="0"/>
        <w:snapToGrid w:val="0"/>
        <w:spacing w:line="560" w:lineRule="exact"/>
        <w:ind w:firstLine="424" w:firstLineChars="202"/>
        <w:rPr>
          <w:szCs w:val="21"/>
          <w:highlight w:val="none"/>
        </w:rPr>
      </w:pPr>
      <w:r>
        <w:rPr>
          <w:szCs w:val="21"/>
          <w:highlight w:val="none"/>
        </w:rPr>
        <w:t xml:space="preserve">开户银行： </w:t>
      </w:r>
      <w:r>
        <w:rPr>
          <w:rFonts w:hint="eastAsia"/>
          <w:b/>
          <w:bCs/>
          <w:snapToGrid w:val="0"/>
          <w:kern w:val="0"/>
          <w:szCs w:val="21"/>
          <w:highlight w:val="none"/>
          <w:u w:val="single"/>
        </w:rPr>
        <w:t xml:space="preserve"> </w:t>
      </w:r>
      <w:r>
        <w:rPr>
          <w:snapToGrid w:val="0"/>
          <w:kern w:val="0"/>
          <w:szCs w:val="21"/>
          <w:highlight w:val="none"/>
          <w:u w:val="single"/>
        </w:rPr>
        <w:t xml:space="preserve"> </w:t>
      </w:r>
      <w:r>
        <w:rPr>
          <w:b/>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szCs w:val="21"/>
          <w:highlight w:val="none"/>
        </w:rPr>
        <w:t xml:space="preserve">                   </w:t>
      </w:r>
    </w:p>
    <w:p>
      <w:pPr>
        <w:tabs>
          <w:tab w:val="left" w:pos="1262"/>
        </w:tabs>
        <w:adjustRightInd w:val="0"/>
        <w:snapToGrid w:val="0"/>
        <w:spacing w:line="560" w:lineRule="exact"/>
        <w:ind w:firstLine="424" w:firstLineChars="202"/>
        <w:rPr>
          <w:szCs w:val="21"/>
          <w:highlight w:val="none"/>
        </w:rPr>
      </w:pPr>
      <w:r>
        <w:rPr>
          <w:szCs w:val="21"/>
          <w:highlight w:val="none"/>
        </w:rPr>
        <w:t xml:space="preserve">地    址： </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szCs w:val="21"/>
          <w:highlight w:val="none"/>
        </w:rPr>
        <w:t xml:space="preserve">                         </w:t>
      </w:r>
    </w:p>
    <w:p>
      <w:pPr>
        <w:adjustRightInd w:val="0"/>
        <w:snapToGrid w:val="0"/>
        <w:spacing w:line="560" w:lineRule="exact"/>
        <w:ind w:firstLine="424" w:firstLineChars="202"/>
        <w:jc w:val="left"/>
        <w:outlineLvl w:val="0"/>
        <w:rPr>
          <w:szCs w:val="21"/>
          <w:highlight w:val="none"/>
        </w:rPr>
      </w:pPr>
      <w:bookmarkStart w:id="83" w:name="_Toc165389668"/>
      <w:bookmarkStart w:id="84" w:name="_Toc165389719"/>
      <w:r>
        <w:rPr>
          <w:szCs w:val="21"/>
          <w:highlight w:val="none"/>
        </w:rPr>
        <w:t>账    号：</w:t>
      </w:r>
      <w:bookmarkEnd w:id="83"/>
      <w:bookmarkEnd w:id="84"/>
      <w:r>
        <w:rPr>
          <w:snapToGrid w:val="0"/>
          <w:kern w:val="0"/>
          <w:szCs w:val="21"/>
          <w:highlight w:val="none"/>
          <w:u w:val="single"/>
        </w:rPr>
        <w:t xml:space="preserve"> </w:t>
      </w:r>
      <w:r>
        <w:rPr>
          <w:rFonts w:hint="eastAsia"/>
          <w:b/>
          <w:bCs/>
          <w:snapToGrid w:val="0"/>
          <w:kern w:val="0"/>
          <w:szCs w:val="21"/>
          <w:highlight w:val="none"/>
          <w:u w:val="single"/>
        </w:rPr>
        <w:t xml:space="preserve"> </w:t>
      </w:r>
      <w:r>
        <w:rPr>
          <w:b/>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szCs w:val="21"/>
          <w:highlight w:val="none"/>
        </w:rPr>
        <w:t xml:space="preserve">    </w:t>
      </w:r>
    </w:p>
    <w:p>
      <w:pPr>
        <w:adjustRightInd w:val="0"/>
        <w:snapToGrid w:val="0"/>
        <w:spacing w:line="560" w:lineRule="exact"/>
        <w:ind w:firstLine="426" w:firstLineChars="202"/>
        <w:jc w:val="left"/>
        <w:outlineLvl w:val="0"/>
        <w:rPr>
          <w:szCs w:val="21"/>
          <w:highlight w:val="none"/>
        </w:rPr>
      </w:pPr>
      <w:bookmarkStart w:id="85" w:name="_Toc165389720"/>
      <w:bookmarkStart w:id="86" w:name="_Toc165389669"/>
      <w:r>
        <w:rPr>
          <w:b/>
          <w:bCs/>
          <w:szCs w:val="21"/>
          <w:highlight w:val="none"/>
        </w:rPr>
        <w:t>第五条</w:t>
      </w:r>
      <w:r>
        <w:rPr>
          <w:szCs w:val="21"/>
          <w:highlight w:val="none"/>
        </w:rPr>
        <w:t xml:space="preserve">  双方确定因履行本合同应遵守的保密义务如下：</w:t>
      </w:r>
      <w:bookmarkEnd w:id="85"/>
      <w:bookmarkEnd w:id="86"/>
    </w:p>
    <w:p>
      <w:pPr>
        <w:adjustRightInd w:val="0"/>
        <w:snapToGrid w:val="0"/>
        <w:spacing w:line="560" w:lineRule="exact"/>
        <w:jc w:val="left"/>
        <w:outlineLvl w:val="0"/>
        <w:rPr>
          <w:szCs w:val="21"/>
          <w:highlight w:val="none"/>
        </w:rPr>
      </w:pPr>
      <w:r>
        <w:rPr>
          <w:szCs w:val="21"/>
          <w:highlight w:val="none"/>
        </w:rPr>
        <w:t xml:space="preserve">    </w:t>
      </w:r>
      <w:bookmarkStart w:id="87" w:name="_Toc165389721"/>
      <w:bookmarkStart w:id="88" w:name="_Toc165389670"/>
      <w:r>
        <w:rPr>
          <w:szCs w:val="21"/>
          <w:highlight w:val="none"/>
        </w:rPr>
        <w:t>甲方：</w:t>
      </w:r>
      <w:bookmarkEnd w:id="87"/>
      <w:bookmarkEnd w:id="88"/>
    </w:p>
    <w:p>
      <w:pPr>
        <w:adjustRightInd w:val="0"/>
        <w:snapToGrid w:val="0"/>
        <w:spacing w:line="560" w:lineRule="exact"/>
        <w:ind w:firstLine="424" w:firstLineChars="202"/>
        <w:jc w:val="left"/>
        <w:outlineLvl w:val="0"/>
        <w:rPr>
          <w:snapToGrid w:val="0"/>
          <w:kern w:val="0"/>
          <w:szCs w:val="21"/>
          <w:highlight w:val="none"/>
          <w:u w:val="single"/>
        </w:rPr>
      </w:pPr>
      <w:bookmarkStart w:id="89" w:name="_Toc165389722"/>
      <w:bookmarkStart w:id="90" w:name="_Toc165389671"/>
      <w:r>
        <w:rPr>
          <w:szCs w:val="21"/>
          <w:highlight w:val="none"/>
        </w:rPr>
        <w:t>1.保密内容（包括技术信息和经营信息）：</w:t>
      </w:r>
      <w:bookmarkEnd w:id="89"/>
      <w:bookmarkEnd w:id="90"/>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4" w:firstLineChars="202"/>
        <w:jc w:val="left"/>
        <w:outlineLvl w:val="0"/>
        <w:rPr>
          <w:b/>
          <w:bCs/>
          <w:snapToGrid w:val="0"/>
          <w:kern w:val="0"/>
          <w:szCs w:val="21"/>
          <w:highlight w:val="none"/>
          <w:u w:val="single"/>
        </w:rPr>
      </w:pPr>
      <w:bookmarkStart w:id="91" w:name="_Toc165389672"/>
      <w:bookmarkStart w:id="92" w:name="_Toc165389723"/>
      <w:r>
        <w:rPr>
          <w:szCs w:val="21"/>
          <w:highlight w:val="none"/>
        </w:rPr>
        <w:t>2.涉密人员范围：</w:t>
      </w:r>
      <w:bookmarkEnd w:id="91"/>
      <w:bookmarkEnd w:id="92"/>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4" w:firstLineChars="202"/>
        <w:jc w:val="left"/>
        <w:outlineLvl w:val="0"/>
        <w:rPr>
          <w:snapToGrid w:val="0"/>
          <w:kern w:val="0"/>
          <w:szCs w:val="21"/>
          <w:highlight w:val="none"/>
          <w:u w:val="single"/>
        </w:rPr>
      </w:pPr>
      <w:bookmarkStart w:id="93" w:name="_Toc165389724"/>
      <w:bookmarkStart w:id="94" w:name="_Toc165389673"/>
      <w:r>
        <w:rPr>
          <w:szCs w:val="21"/>
          <w:highlight w:val="none"/>
        </w:rPr>
        <w:t>3.保密期限：</w:t>
      </w:r>
      <w:bookmarkEnd w:id="93"/>
      <w:bookmarkEnd w:id="94"/>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4" w:firstLineChars="202"/>
        <w:jc w:val="left"/>
        <w:outlineLvl w:val="0"/>
        <w:rPr>
          <w:szCs w:val="21"/>
          <w:highlight w:val="none"/>
        </w:rPr>
      </w:pPr>
      <w:bookmarkStart w:id="95" w:name="_Toc165389674"/>
      <w:bookmarkStart w:id="96" w:name="_Toc165389725"/>
      <w:r>
        <w:rPr>
          <w:szCs w:val="21"/>
          <w:highlight w:val="none"/>
        </w:rPr>
        <w:t>4.泄密责任：</w:t>
      </w:r>
      <w:bookmarkEnd w:id="95"/>
      <w:bookmarkEnd w:id="96"/>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4" w:firstLineChars="202"/>
        <w:jc w:val="left"/>
        <w:outlineLvl w:val="0"/>
        <w:rPr>
          <w:szCs w:val="21"/>
          <w:highlight w:val="none"/>
        </w:rPr>
      </w:pPr>
      <w:bookmarkStart w:id="97" w:name="_Toc165389675"/>
      <w:bookmarkStart w:id="98" w:name="_Toc165389726"/>
      <w:r>
        <w:rPr>
          <w:szCs w:val="21"/>
          <w:highlight w:val="none"/>
        </w:rPr>
        <w:t>乙方：</w:t>
      </w:r>
      <w:bookmarkEnd w:id="97"/>
      <w:bookmarkEnd w:id="98"/>
    </w:p>
    <w:p>
      <w:pPr>
        <w:adjustRightInd w:val="0"/>
        <w:snapToGrid w:val="0"/>
        <w:spacing w:line="560" w:lineRule="exact"/>
        <w:ind w:firstLine="424" w:firstLineChars="202"/>
        <w:jc w:val="left"/>
        <w:outlineLvl w:val="0"/>
        <w:rPr>
          <w:snapToGrid w:val="0"/>
          <w:kern w:val="0"/>
          <w:szCs w:val="21"/>
          <w:highlight w:val="none"/>
          <w:u w:val="single"/>
        </w:rPr>
      </w:pPr>
      <w:bookmarkStart w:id="99" w:name="_Toc165389727"/>
      <w:bookmarkStart w:id="100" w:name="_Toc165389676"/>
      <w:r>
        <w:rPr>
          <w:szCs w:val="21"/>
          <w:highlight w:val="none"/>
        </w:rPr>
        <w:t>1.保密内容（包括技术信息和经营信息）：</w:t>
      </w:r>
      <w:bookmarkEnd w:id="99"/>
      <w:bookmarkEnd w:id="100"/>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4" w:firstLineChars="202"/>
        <w:jc w:val="left"/>
        <w:outlineLvl w:val="0"/>
        <w:rPr>
          <w:snapToGrid w:val="0"/>
          <w:kern w:val="0"/>
          <w:szCs w:val="21"/>
          <w:highlight w:val="none"/>
          <w:u w:val="single"/>
        </w:rPr>
      </w:pPr>
      <w:bookmarkStart w:id="101" w:name="_Toc165389677"/>
      <w:bookmarkStart w:id="102" w:name="_Toc165389728"/>
      <w:r>
        <w:rPr>
          <w:szCs w:val="21"/>
          <w:highlight w:val="none"/>
        </w:rPr>
        <w:t>2.涉密人员范围：</w:t>
      </w:r>
      <w:bookmarkEnd w:id="101"/>
      <w:bookmarkEnd w:id="102"/>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p>
    <w:p>
      <w:pPr>
        <w:adjustRightInd w:val="0"/>
        <w:snapToGrid w:val="0"/>
        <w:spacing w:line="560" w:lineRule="exact"/>
        <w:ind w:firstLine="424" w:firstLineChars="202"/>
        <w:jc w:val="left"/>
        <w:outlineLvl w:val="0"/>
        <w:rPr>
          <w:snapToGrid w:val="0"/>
          <w:kern w:val="0"/>
          <w:szCs w:val="21"/>
          <w:highlight w:val="none"/>
          <w:u w:val="single"/>
        </w:rPr>
      </w:pPr>
      <w:bookmarkStart w:id="103" w:name="_Toc165389729"/>
      <w:bookmarkStart w:id="104" w:name="_Toc165389678"/>
      <w:r>
        <w:rPr>
          <w:szCs w:val="21"/>
          <w:highlight w:val="none"/>
        </w:rPr>
        <w:t>3.保密期限：</w:t>
      </w:r>
      <w:bookmarkEnd w:id="103"/>
      <w:bookmarkEnd w:id="104"/>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4" w:firstLineChars="202"/>
        <w:jc w:val="left"/>
        <w:outlineLvl w:val="0"/>
        <w:rPr>
          <w:snapToGrid w:val="0"/>
          <w:kern w:val="0"/>
          <w:szCs w:val="21"/>
          <w:highlight w:val="none"/>
          <w:u w:val="single"/>
        </w:rPr>
      </w:pPr>
      <w:bookmarkStart w:id="105" w:name="_Toc165389679"/>
      <w:bookmarkStart w:id="106" w:name="_Toc165389730"/>
      <w:r>
        <w:rPr>
          <w:szCs w:val="21"/>
          <w:highlight w:val="none"/>
        </w:rPr>
        <w:t>4.泄密责任：</w:t>
      </w:r>
      <w:bookmarkEnd w:id="105"/>
      <w:bookmarkEnd w:id="106"/>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588"/>
        <w:rPr>
          <w:snapToGrid w:val="0"/>
          <w:kern w:val="0"/>
          <w:szCs w:val="21"/>
          <w:highlight w:val="none"/>
          <w:u w:val="single"/>
        </w:rPr>
      </w:pPr>
      <w:r>
        <w:rPr>
          <w:b/>
          <w:szCs w:val="21"/>
          <w:highlight w:val="none"/>
        </w:rPr>
        <w:t xml:space="preserve">第六条  </w:t>
      </w:r>
      <w:r>
        <w:rPr>
          <w:szCs w:val="21"/>
          <w:highlight w:val="none"/>
        </w:rPr>
        <w:t>本合同为总价包干合同，合同执行过程中研究经费和报酬总额不予调整。如需变更必须由双方协商一致，并以书面形式确定。</w:t>
      </w:r>
    </w:p>
    <w:p>
      <w:pPr>
        <w:adjustRightInd w:val="0"/>
        <w:snapToGrid w:val="0"/>
        <w:spacing w:line="560" w:lineRule="exact"/>
        <w:ind w:firstLine="426" w:firstLineChars="202"/>
        <w:outlineLvl w:val="0"/>
        <w:rPr>
          <w:szCs w:val="21"/>
          <w:highlight w:val="none"/>
        </w:rPr>
      </w:pPr>
      <w:bookmarkStart w:id="107" w:name="_Toc165389680"/>
      <w:bookmarkStart w:id="108" w:name="_Toc165389731"/>
      <w:r>
        <w:rPr>
          <w:b/>
          <w:szCs w:val="21"/>
          <w:highlight w:val="none"/>
        </w:rPr>
        <w:t xml:space="preserve">第七条  </w:t>
      </w:r>
      <w:r>
        <w:rPr>
          <w:szCs w:val="21"/>
          <w:highlight w:val="none"/>
        </w:rPr>
        <w:t>未经甲方同意，乙方不得将本合同项目研究工作转让第三人承担。</w:t>
      </w:r>
      <w:bookmarkEnd w:id="107"/>
      <w:bookmarkEnd w:id="108"/>
    </w:p>
    <w:p>
      <w:pPr>
        <w:adjustRightInd w:val="0"/>
        <w:snapToGrid w:val="0"/>
        <w:spacing w:line="560" w:lineRule="exact"/>
        <w:ind w:firstLine="426" w:firstLineChars="202"/>
        <w:jc w:val="left"/>
        <w:outlineLvl w:val="0"/>
        <w:rPr>
          <w:szCs w:val="21"/>
          <w:highlight w:val="none"/>
        </w:rPr>
      </w:pPr>
      <w:bookmarkStart w:id="109" w:name="_Toc165389732"/>
      <w:bookmarkStart w:id="110" w:name="_Toc165389681"/>
      <w:r>
        <w:rPr>
          <w:b/>
          <w:szCs w:val="21"/>
          <w:highlight w:val="none"/>
        </w:rPr>
        <w:t xml:space="preserve">第八条  </w:t>
      </w:r>
      <w:r>
        <w:rPr>
          <w:szCs w:val="21"/>
          <w:highlight w:val="none"/>
        </w:rPr>
        <w:t>在本合同履行中，因出现在现有技术水平和条件下难以克服的技术困难，导致研究失败或部分失败，并造成一方或双方损失的，双方按如下约定承担各自的风险损失。</w:t>
      </w:r>
      <w:bookmarkEnd w:id="109"/>
      <w:bookmarkEnd w:id="110"/>
    </w:p>
    <w:p>
      <w:pPr>
        <w:adjustRightInd w:val="0"/>
        <w:snapToGrid w:val="0"/>
        <w:spacing w:line="560" w:lineRule="exact"/>
        <w:ind w:firstLine="588"/>
        <w:rPr>
          <w:szCs w:val="21"/>
          <w:highlight w:val="none"/>
        </w:rPr>
      </w:pPr>
      <w:r>
        <w:rPr>
          <w:szCs w:val="21"/>
          <w:highlight w:val="none"/>
        </w:rPr>
        <w:t>双方确定，本合同项目的技术风险按</w:t>
      </w:r>
      <w:r>
        <w:rPr>
          <w:szCs w:val="21"/>
          <w:highlight w:val="none"/>
          <w:u w:val="single"/>
        </w:rPr>
        <w:t xml:space="preserve">   </w:t>
      </w:r>
      <w:r>
        <w:rPr>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u w:val="single"/>
        </w:rPr>
        <w:t xml:space="preserve"> </w:t>
      </w:r>
      <w:r>
        <w:rPr>
          <w:szCs w:val="21"/>
          <w:highlight w:val="none"/>
          <w:u w:val="single"/>
        </w:rPr>
        <w:t xml:space="preserve">  </w:t>
      </w:r>
      <w:r>
        <w:rPr>
          <w:szCs w:val="21"/>
          <w:highlight w:val="none"/>
        </w:rPr>
        <w:t>的方式认定。认定技术风险的基本内容应当包括技术风险的存在、范围、程度及损失大小等。认定技术风险的基本条件是：</w:t>
      </w:r>
    </w:p>
    <w:p>
      <w:pPr>
        <w:adjustRightInd w:val="0"/>
        <w:snapToGrid w:val="0"/>
        <w:spacing w:line="560" w:lineRule="exact"/>
        <w:ind w:left="709"/>
        <w:rPr>
          <w:szCs w:val="21"/>
          <w:highlight w:val="none"/>
        </w:rPr>
      </w:pPr>
      <w:r>
        <w:rPr>
          <w:szCs w:val="21"/>
          <w:highlight w:val="none"/>
        </w:rPr>
        <w:t>1.本合同项目在现有技术水平条件下具有足够的难度；</w:t>
      </w:r>
    </w:p>
    <w:p>
      <w:pPr>
        <w:adjustRightInd w:val="0"/>
        <w:snapToGrid w:val="0"/>
        <w:spacing w:line="560" w:lineRule="exact"/>
        <w:ind w:left="709"/>
        <w:rPr>
          <w:szCs w:val="21"/>
          <w:highlight w:val="none"/>
        </w:rPr>
      </w:pPr>
      <w:r>
        <w:rPr>
          <w:rFonts w:hint="eastAsia"/>
          <w:szCs w:val="21"/>
          <w:highlight w:val="none"/>
        </w:rPr>
        <w:t>2</w:t>
      </w:r>
      <w:r>
        <w:rPr>
          <w:szCs w:val="21"/>
          <w:highlight w:val="none"/>
        </w:rPr>
        <w:t>.乙方在主观上无过错且经认定研究失败为合理的失败。</w:t>
      </w:r>
    </w:p>
    <w:p>
      <w:pPr>
        <w:adjustRightInd w:val="0"/>
        <w:snapToGrid w:val="0"/>
        <w:spacing w:line="560" w:lineRule="exact"/>
        <w:ind w:firstLine="424" w:firstLineChars="202"/>
        <w:rPr>
          <w:szCs w:val="21"/>
          <w:highlight w:val="none"/>
        </w:rPr>
      </w:pPr>
      <w:r>
        <w:rPr>
          <w:szCs w:val="21"/>
          <w:highlight w:val="none"/>
        </w:rPr>
        <w:t>一方发现技术风险存在并有可能致使研究开发失败或部分失败的情形时，应当在</w:t>
      </w:r>
      <w:r>
        <w:rPr>
          <w:szCs w:val="21"/>
          <w:highlight w:val="none"/>
          <w:u w:val="single"/>
        </w:rPr>
        <w:t xml:space="preserve"> </w:t>
      </w:r>
      <w:r>
        <w:rPr>
          <w:snapToGrid w:val="0"/>
          <w:kern w:val="0"/>
          <w:szCs w:val="21"/>
          <w:highlight w:val="none"/>
          <w:u w:val="single"/>
        </w:rPr>
        <w:t xml:space="preserve"> </w:t>
      </w:r>
      <w:r>
        <w:rPr>
          <w:szCs w:val="21"/>
          <w:highlight w:val="none"/>
          <w:u w:val="single"/>
        </w:rPr>
        <w:t xml:space="preserve"> </w:t>
      </w:r>
      <w:r>
        <w:rPr>
          <w:szCs w:val="21"/>
          <w:highlight w:val="none"/>
        </w:rPr>
        <w:t>日内通知另一方并采取适当措施减少损失。逾期未通知并未采取适当措施而致使损失扩大的，应当就扩大的损失承担赔偿责任，赔偿金额不超过本合同价款。</w:t>
      </w:r>
    </w:p>
    <w:p>
      <w:pPr>
        <w:adjustRightInd w:val="0"/>
        <w:snapToGrid w:val="0"/>
        <w:spacing w:line="560" w:lineRule="exact"/>
        <w:ind w:firstLine="426" w:firstLineChars="202"/>
        <w:jc w:val="left"/>
        <w:outlineLvl w:val="0"/>
        <w:rPr>
          <w:szCs w:val="21"/>
          <w:highlight w:val="none"/>
        </w:rPr>
      </w:pPr>
      <w:bookmarkStart w:id="111" w:name="_Toc165389682"/>
      <w:bookmarkStart w:id="112" w:name="_Toc165389733"/>
      <w:r>
        <w:rPr>
          <w:b/>
          <w:szCs w:val="21"/>
          <w:highlight w:val="none"/>
        </w:rPr>
        <w:t xml:space="preserve">第九条  </w:t>
      </w:r>
      <w:r>
        <w:rPr>
          <w:szCs w:val="21"/>
          <w:highlight w:val="none"/>
        </w:rPr>
        <w:t>乙方应当按以下方式向甲方交付研究成果：</w:t>
      </w:r>
      <w:bookmarkEnd w:id="111"/>
      <w:bookmarkEnd w:id="112"/>
    </w:p>
    <w:p>
      <w:pPr>
        <w:adjustRightInd w:val="0"/>
        <w:snapToGrid w:val="0"/>
        <w:spacing w:line="560" w:lineRule="exact"/>
        <w:ind w:firstLine="420" w:firstLineChars="200"/>
        <w:rPr>
          <w:b/>
          <w:bCs/>
          <w:snapToGrid w:val="0"/>
          <w:kern w:val="0"/>
          <w:szCs w:val="21"/>
          <w:highlight w:val="none"/>
          <w:u w:val="single"/>
        </w:rPr>
      </w:pPr>
      <w:r>
        <w:rPr>
          <w:szCs w:val="21"/>
          <w:highlight w:val="none"/>
        </w:rPr>
        <w:t>1.乙方提交工作成果的形式：</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0" w:firstLineChars="200"/>
        <w:rPr>
          <w:b/>
          <w:bCs/>
          <w:snapToGrid w:val="0"/>
          <w:kern w:val="0"/>
          <w:szCs w:val="21"/>
          <w:highlight w:val="none"/>
          <w:u w:val="single"/>
        </w:rPr>
      </w:pPr>
      <w:r>
        <w:rPr>
          <w:szCs w:val="21"/>
          <w:highlight w:val="none"/>
        </w:rPr>
        <w:t>2.工作成果的验收：</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0" w:firstLineChars="200"/>
        <w:rPr>
          <w:szCs w:val="21"/>
          <w:highlight w:val="none"/>
        </w:rPr>
      </w:pPr>
      <w:r>
        <w:rPr>
          <w:szCs w:val="21"/>
          <w:highlight w:val="none"/>
        </w:rPr>
        <w:t>3.工作成果的验收方法：</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6" w:firstLineChars="202"/>
        <w:outlineLvl w:val="0"/>
        <w:rPr>
          <w:bCs/>
          <w:szCs w:val="21"/>
          <w:highlight w:val="none"/>
        </w:rPr>
      </w:pPr>
      <w:bookmarkStart w:id="113" w:name="_Toc165389683"/>
      <w:bookmarkStart w:id="114" w:name="_Toc165389734"/>
      <w:r>
        <w:rPr>
          <w:b/>
          <w:szCs w:val="21"/>
          <w:highlight w:val="none"/>
        </w:rPr>
        <w:t xml:space="preserve">第十条  </w:t>
      </w:r>
      <w:r>
        <w:rPr>
          <w:bCs/>
          <w:szCs w:val="21"/>
          <w:highlight w:val="none"/>
        </w:rPr>
        <w:t>双方确定，按以下约定承担各自的违约责任：</w:t>
      </w:r>
      <w:bookmarkEnd w:id="113"/>
      <w:bookmarkEnd w:id="114"/>
    </w:p>
    <w:p>
      <w:pPr>
        <w:adjustRightInd w:val="0"/>
        <w:snapToGrid w:val="0"/>
        <w:spacing w:line="560" w:lineRule="exact"/>
        <w:ind w:firstLine="424" w:firstLineChars="202"/>
        <w:outlineLvl w:val="0"/>
        <w:rPr>
          <w:bCs/>
          <w:szCs w:val="21"/>
          <w:highlight w:val="none"/>
        </w:rPr>
      </w:pPr>
      <w:bookmarkStart w:id="115" w:name="_Toc165389684"/>
      <w:bookmarkStart w:id="116" w:name="_Toc165389735"/>
      <w:r>
        <w:rPr>
          <w:bCs/>
          <w:szCs w:val="21"/>
          <w:highlight w:val="none"/>
        </w:rPr>
        <w:t>1</w:t>
      </w:r>
      <w:r>
        <w:rPr>
          <w:rFonts w:hint="eastAsia"/>
          <w:bCs/>
          <w:szCs w:val="21"/>
          <w:highlight w:val="none"/>
        </w:rPr>
        <w:t>.甲方</w:t>
      </w:r>
      <w:r>
        <w:rPr>
          <w:bCs/>
          <w:szCs w:val="21"/>
          <w:highlight w:val="none"/>
        </w:rPr>
        <w:t>违反本合同第三、四、五条约定，应当承担相应违约责任。</w:t>
      </w:r>
      <w:bookmarkEnd w:id="115"/>
      <w:bookmarkEnd w:id="116"/>
    </w:p>
    <w:p>
      <w:pPr>
        <w:adjustRightInd w:val="0"/>
        <w:snapToGrid w:val="0"/>
        <w:spacing w:line="560" w:lineRule="exact"/>
        <w:ind w:firstLine="424" w:firstLineChars="202"/>
        <w:outlineLvl w:val="0"/>
        <w:rPr>
          <w:bCs/>
          <w:szCs w:val="21"/>
          <w:highlight w:val="none"/>
        </w:rPr>
      </w:pPr>
      <w:bookmarkStart w:id="117" w:name="_Toc165389685"/>
      <w:bookmarkStart w:id="118" w:name="_Toc165389736"/>
      <w:r>
        <w:rPr>
          <w:bCs/>
          <w:szCs w:val="21"/>
          <w:highlight w:val="none"/>
        </w:rPr>
        <w:t>2</w:t>
      </w:r>
      <w:r>
        <w:rPr>
          <w:rFonts w:hint="eastAsia"/>
          <w:bCs/>
          <w:szCs w:val="21"/>
          <w:highlight w:val="none"/>
        </w:rPr>
        <w:t>.乙方</w:t>
      </w:r>
      <w:r>
        <w:rPr>
          <w:bCs/>
          <w:szCs w:val="21"/>
          <w:highlight w:val="none"/>
        </w:rPr>
        <w:t>违反本合同第一、二、五、九条约定，应当承担相应违约责任。</w:t>
      </w:r>
      <w:bookmarkEnd w:id="117"/>
      <w:bookmarkEnd w:id="118"/>
    </w:p>
    <w:p>
      <w:pPr>
        <w:adjustRightInd w:val="0"/>
        <w:snapToGrid w:val="0"/>
        <w:spacing w:line="560" w:lineRule="exact"/>
        <w:ind w:firstLine="426" w:firstLineChars="202"/>
        <w:outlineLvl w:val="0"/>
        <w:rPr>
          <w:b/>
          <w:szCs w:val="21"/>
          <w:highlight w:val="none"/>
        </w:rPr>
      </w:pPr>
      <w:bookmarkStart w:id="119" w:name="_Toc165389737"/>
      <w:bookmarkStart w:id="120" w:name="_Toc165389686"/>
      <w:r>
        <w:rPr>
          <w:b/>
          <w:szCs w:val="21"/>
          <w:highlight w:val="none"/>
        </w:rPr>
        <w:t xml:space="preserve">第十一条  </w:t>
      </w:r>
      <w:r>
        <w:rPr>
          <w:bCs/>
          <w:szCs w:val="21"/>
          <w:highlight w:val="none"/>
        </w:rPr>
        <w:t>双方确定：</w:t>
      </w:r>
      <w:bookmarkEnd w:id="119"/>
      <w:bookmarkEnd w:id="120"/>
    </w:p>
    <w:p>
      <w:pPr>
        <w:adjustRightInd w:val="0"/>
        <w:snapToGrid w:val="0"/>
        <w:spacing w:line="560" w:lineRule="exact"/>
        <w:ind w:firstLine="424" w:firstLineChars="202"/>
        <w:outlineLvl w:val="0"/>
        <w:rPr>
          <w:szCs w:val="21"/>
          <w:highlight w:val="none"/>
        </w:rPr>
      </w:pPr>
      <w:bookmarkStart w:id="121" w:name="_Toc165389687"/>
      <w:bookmarkStart w:id="122" w:name="_Toc165389738"/>
      <w:r>
        <w:rPr>
          <w:szCs w:val="21"/>
          <w:highlight w:val="none"/>
        </w:rPr>
        <w:t xml:space="preserve">1.在本合同有效期内，甲方利用乙方提交的技术工作成果所完成的新的技术成果，归 </w:t>
      </w:r>
      <w:r>
        <w:rPr>
          <w:szCs w:val="21"/>
          <w:highlight w:val="none"/>
          <w:u w:val="single"/>
        </w:rPr>
        <w:t xml:space="preserve"> </w:t>
      </w:r>
      <w:r>
        <w:rPr>
          <w:snapToGrid w:val="0"/>
          <w:kern w:val="0"/>
          <w:szCs w:val="21"/>
          <w:highlight w:val="none"/>
          <w:u w:val="single"/>
        </w:rPr>
        <w:t xml:space="preserve"> 甲  </w:t>
      </w:r>
      <w:r>
        <w:rPr>
          <w:szCs w:val="21"/>
          <w:highlight w:val="none"/>
        </w:rPr>
        <w:t>方所有。</w:t>
      </w:r>
      <w:bookmarkEnd w:id="121"/>
      <w:bookmarkEnd w:id="122"/>
    </w:p>
    <w:p>
      <w:pPr>
        <w:adjustRightInd w:val="0"/>
        <w:snapToGrid w:val="0"/>
        <w:spacing w:line="560" w:lineRule="exact"/>
        <w:ind w:firstLine="424" w:firstLineChars="202"/>
        <w:outlineLvl w:val="0"/>
        <w:rPr>
          <w:szCs w:val="21"/>
          <w:highlight w:val="none"/>
        </w:rPr>
      </w:pPr>
      <w:bookmarkStart w:id="123" w:name="_Toc165389688"/>
      <w:bookmarkStart w:id="124" w:name="_Toc165389739"/>
      <w:r>
        <w:rPr>
          <w:szCs w:val="21"/>
          <w:highlight w:val="none"/>
        </w:rPr>
        <w:t xml:space="preserve">2. 在本合同有效期内，乙方利用甲方提供的技术资料和工作条件所完成的新的技术成果，归 </w:t>
      </w:r>
      <w:r>
        <w:rPr>
          <w:szCs w:val="21"/>
          <w:highlight w:val="none"/>
          <w:u w:val="single"/>
        </w:rPr>
        <w:t xml:space="preserve">  </w:t>
      </w:r>
      <w:r>
        <w:rPr>
          <w:snapToGrid w:val="0"/>
          <w:kern w:val="0"/>
          <w:szCs w:val="21"/>
          <w:highlight w:val="none"/>
          <w:u w:val="single"/>
        </w:rPr>
        <w:t xml:space="preserve">双 </w:t>
      </w:r>
      <w:r>
        <w:rPr>
          <w:b/>
          <w:szCs w:val="21"/>
          <w:highlight w:val="none"/>
          <w:u w:val="single"/>
        </w:rPr>
        <w:t xml:space="preserve"> </w:t>
      </w:r>
      <w:r>
        <w:rPr>
          <w:szCs w:val="21"/>
          <w:highlight w:val="none"/>
        </w:rPr>
        <w:t>方所有。</w:t>
      </w:r>
      <w:bookmarkEnd w:id="123"/>
      <w:bookmarkEnd w:id="124"/>
    </w:p>
    <w:p>
      <w:pPr>
        <w:adjustRightInd w:val="0"/>
        <w:snapToGrid w:val="0"/>
        <w:spacing w:line="560" w:lineRule="exact"/>
        <w:ind w:firstLine="426" w:firstLineChars="202"/>
        <w:outlineLvl w:val="0"/>
        <w:rPr>
          <w:szCs w:val="21"/>
          <w:highlight w:val="none"/>
        </w:rPr>
      </w:pPr>
      <w:bookmarkStart w:id="125" w:name="_Toc165389689"/>
      <w:bookmarkStart w:id="126" w:name="_Toc165389740"/>
      <w:r>
        <w:rPr>
          <w:b/>
          <w:szCs w:val="21"/>
          <w:highlight w:val="none"/>
        </w:rPr>
        <w:t xml:space="preserve">第十二条  </w:t>
      </w:r>
      <w:r>
        <w:rPr>
          <w:szCs w:val="21"/>
          <w:highlight w:val="none"/>
        </w:rPr>
        <w:t>双方确定，在本合同有效期内，甲方指定</w:t>
      </w:r>
      <w:r>
        <w:rPr>
          <w:b/>
          <w:szCs w:val="21"/>
          <w:highlight w:val="none"/>
          <w:u w:val="single"/>
        </w:rPr>
        <w:t xml:space="preserve">       </w:t>
      </w:r>
      <w:r>
        <w:rPr>
          <w:snapToGrid w:val="0"/>
          <w:kern w:val="0"/>
          <w:szCs w:val="21"/>
          <w:highlight w:val="none"/>
          <w:u w:val="single"/>
        </w:rPr>
        <w:t xml:space="preserve"> </w:t>
      </w:r>
      <w:r>
        <w:rPr>
          <w:szCs w:val="21"/>
          <w:highlight w:val="none"/>
        </w:rPr>
        <w:t>为甲方项目联系人，乙方指定</w:t>
      </w:r>
      <w:r>
        <w:rPr>
          <w:b/>
          <w:szCs w:val="21"/>
          <w:highlight w:val="none"/>
          <w:u w:val="single"/>
        </w:rPr>
        <w:t xml:space="preserve"> </w:t>
      </w:r>
      <w:r>
        <w:rPr>
          <w:rFonts w:hint="eastAsia"/>
          <w:b/>
          <w:szCs w:val="21"/>
          <w:highlight w:val="none"/>
          <w:u w:val="single"/>
        </w:rPr>
        <w:t xml:space="preserve">   </w:t>
      </w:r>
      <w:r>
        <w:rPr>
          <w:szCs w:val="21"/>
          <w:highlight w:val="none"/>
        </w:rPr>
        <w:t>为乙方项目联系人。项目联系人承担以下责任：</w:t>
      </w:r>
      <w:bookmarkEnd w:id="125"/>
      <w:bookmarkEnd w:id="126"/>
    </w:p>
    <w:p>
      <w:pPr>
        <w:adjustRightInd w:val="0"/>
        <w:snapToGrid w:val="0"/>
        <w:spacing w:line="560" w:lineRule="exact"/>
        <w:ind w:firstLine="420" w:firstLineChars="200"/>
        <w:rPr>
          <w:snapToGrid w:val="0"/>
          <w:kern w:val="0"/>
          <w:szCs w:val="21"/>
          <w:highlight w:val="none"/>
          <w:u w:val="single"/>
        </w:rPr>
      </w:pP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adjustRightInd w:val="0"/>
        <w:snapToGrid w:val="0"/>
        <w:spacing w:line="560" w:lineRule="exact"/>
        <w:ind w:firstLine="420" w:firstLineChars="200"/>
        <w:rPr>
          <w:szCs w:val="21"/>
          <w:highlight w:val="none"/>
        </w:rPr>
      </w:pPr>
      <w:r>
        <w:rPr>
          <w:szCs w:val="21"/>
          <w:highlight w:val="none"/>
        </w:rPr>
        <w:t>一方变更项目联系人的，应当及时以书面形式通知另一方。未及时通知并影响本合同履行或造成损失的，应承担相应的责任。</w:t>
      </w:r>
    </w:p>
    <w:p>
      <w:pPr>
        <w:adjustRightInd w:val="0"/>
        <w:snapToGrid w:val="0"/>
        <w:spacing w:line="560" w:lineRule="exact"/>
        <w:ind w:firstLine="426" w:firstLineChars="202"/>
        <w:outlineLvl w:val="0"/>
        <w:rPr>
          <w:szCs w:val="21"/>
          <w:highlight w:val="none"/>
        </w:rPr>
      </w:pPr>
      <w:bookmarkStart w:id="127" w:name="_Toc165389693"/>
      <w:bookmarkStart w:id="128" w:name="_Toc165389744"/>
      <w:r>
        <w:rPr>
          <w:b/>
          <w:szCs w:val="21"/>
          <w:highlight w:val="none"/>
        </w:rPr>
        <w:t xml:space="preserve">第十三条  </w:t>
      </w:r>
      <w:r>
        <w:rPr>
          <w:szCs w:val="21"/>
          <w:highlight w:val="none"/>
        </w:rPr>
        <w:t>双方确定，出现下列情形，致使本合同的履行成为不必要或不可能的，一方可以通知另一方解除本合同</w:t>
      </w:r>
      <w:r>
        <w:rPr>
          <w:rFonts w:hint="eastAsia"/>
          <w:szCs w:val="21"/>
          <w:highlight w:val="none"/>
        </w:rPr>
        <w:t>：</w:t>
      </w:r>
      <w:bookmarkEnd w:id="127"/>
      <w:bookmarkEnd w:id="128"/>
    </w:p>
    <w:p>
      <w:pPr>
        <w:adjustRightInd w:val="0"/>
        <w:snapToGrid w:val="0"/>
        <w:spacing w:line="560" w:lineRule="exact"/>
        <w:ind w:firstLine="424" w:firstLineChars="202"/>
        <w:jc w:val="left"/>
        <w:outlineLvl w:val="0"/>
        <w:rPr>
          <w:b/>
          <w:bCs/>
          <w:snapToGrid w:val="0"/>
          <w:kern w:val="0"/>
          <w:szCs w:val="21"/>
          <w:highlight w:val="none"/>
          <w:u w:val="single"/>
        </w:rPr>
      </w:pPr>
      <w:r>
        <w:rPr>
          <w:rFonts w:hint="eastAsia"/>
          <w:snapToGrid w:val="0"/>
          <w:kern w:val="0"/>
          <w:szCs w:val="21"/>
          <w:highlight w:val="none"/>
          <w:u w:val="single"/>
        </w:rPr>
        <w:t xml:space="preserve">              </w:t>
      </w:r>
      <w:r>
        <w:rPr>
          <w:snapToGrid w:val="0"/>
          <w:kern w:val="0"/>
          <w:szCs w:val="21"/>
          <w:highlight w:val="none"/>
          <w:u w:val="single"/>
        </w:rPr>
        <w:t xml:space="preserve">          </w:t>
      </w:r>
      <w:r>
        <w:rPr>
          <w:rFonts w:hint="eastAsia"/>
          <w:snapToGrid w:val="0"/>
          <w:kern w:val="0"/>
          <w:szCs w:val="21"/>
          <w:highlight w:val="none"/>
          <w:u w:val="single"/>
        </w:rPr>
        <w:t xml:space="preserve">   </w:t>
      </w:r>
      <w:r>
        <w:rPr>
          <w:snapToGrid w:val="0"/>
          <w:kern w:val="0"/>
          <w:szCs w:val="21"/>
          <w:highlight w:val="none"/>
          <w:u w:val="single"/>
        </w:rPr>
        <w:t xml:space="preserve">   </w:t>
      </w:r>
    </w:p>
    <w:p>
      <w:pPr>
        <w:spacing w:line="520" w:lineRule="exact"/>
        <w:ind w:right="-21" w:rightChars="-10" w:firstLine="373" w:firstLineChars="177"/>
        <w:rPr>
          <w:snapToGrid w:val="0"/>
          <w:kern w:val="0"/>
          <w:szCs w:val="21"/>
          <w:highlight w:val="none"/>
        </w:rPr>
      </w:pPr>
      <w:r>
        <w:rPr>
          <w:b/>
          <w:szCs w:val="21"/>
          <w:highlight w:val="none"/>
        </w:rPr>
        <w:t xml:space="preserve">第十四条  </w:t>
      </w:r>
      <w:r>
        <w:rPr>
          <w:szCs w:val="21"/>
          <w:highlight w:val="none"/>
        </w:rPr>
        <w:t>双方因履行本合同而发生的争议，应协商、调解解决。协商、调解不成的，</w:t>
      </w:r>
      <w:r>
        <w:rPr>
          <w:snapToGrid w:val="0"/>
          <w:kern w:val="0"/>
          <w:szCs w:val="21"/>
          <w:highlight w:val="none"/>
        </w:rPr>
        <w:t>确定按以下第</w:t>
      </w:r>
      <w:r>
        <w:rPr>
          <w:snapToGrid w:val="0"/>
          <w:kern w:val="0"/>
          <w:szCs w:val="21"/>
          <w:highlight w:val="none"/>
          <w:u w:val="single"/>
        </w:rPr>
        <w:t xml:space="preserve">   </w:t>
      </w:r>
      <w:r>
        <w:rPr>
          <w:b/>
          <w:bCs/>
          <w:snapToGrid w:val="0"/>
          <w:kern w:val="0"/>
          <w:szCs w:val="21"/>
          <w:highlight w:val="none"/>
          <w:u w:val="single"/>
        </w:rPr>
        <w:t>1</w:t>
      </w:r>
      <w:r>
        <w:rPr>
          <w:snapToGrid w:val="0"/>
          <w:kern w:val="0"/>
          <w:szCs w:val="21"/>
          <w:highlight w:val="none"/>
          <w:u w:val="single"/>
        </w:rPr>
        <w:t xml:space="preserve">   </w:t>
      </w:r>
      <w:r>
        <w:rPr>
          <w:snapToGrid w:val="0"/>
          <w:kern w:val="0"/>
          <w:szCs w:val="21"/>
          <w:highlight w:val="none"/>
        </w:rPr>
        <w:t>种方式处理：</w:t>
      </w:r>
    </w:p>
    <w:p>
      <w:pPr>
        <w:spacing w:line="520" w:lineRule="exact"/>
        <w:ind w:right="-21" w:rightChars="-10" w:firstLine="420" w:firstLineChars="200"/>
        <w:rPr>
          <w:snapToGrid w:val="0"/>
          <w:kern w:val="0"/>
          <w:szCs w:val="21"/>
          <w:highlight w:val="none"/>
        </w:rPr>
      </w:pPr>
      <w:r>
        <w:rPr>
          <w:snapToGrid w:val="0"/>
          <w:kern w:val="0"/>
          <w:szCs w:val="21"/>
          <w:highlight w:val="none"/>
        </w:rPr>
        <w:t>1. 提交</w:t>
      </w:r>
      <w:r>
        <w:rPr>
          <w:snapToGrid w:val="0"/>
          <w:kern w:val="0"/>
          <w:szCs w:val="21"/>
          <w:highlight w:val="none"/>
          <w:u w:val="single"/>
        </w:rPr>
        <w:t xml:space="preserve">  </w:t>
      </w:r>
      <w:r>
        <w:rPr>
          <w:rFonts w:hint="eastAsia"/>
          <w:b/>
          <w:bCs/>
          <w:snapToGrid w:val="0"/>
          <w:kern w:val="0"/>
          <w:szCs w:val="21"/>
          <w:highlight w:val="none"/>
          <w:u w:val="single"/>
        </w:rPr>
        <w:t xml:space="preserve">  </w:t>
      </w:r>
      <w:r>
        <w:rPr>
          <w:b/>
          <w:bCs/>
          <w:snapToGrid w:val="0"/>
          <w:kern w:val="0"/>
          <w:szCs w:val="21"/>
          <w:highlight w:val="none"/>
          <w:u w:val="single"/>
        </w:rPr>
        <w:t xml:space="preserve"> </w:t>
      </w:r>
      <w:r>
        <w:rPr>
          <w:snapToGrid w:val="0"/>
          <w:kern w:val="0"/>
          <w:szCs w:val="21"/>
          <w:highlight w:val="none"/>
          <w:u w:val="single"/>
        </w:rPr>
        <w:t xml:space="preserve"> </w:t>
      </w:r>
      <w:r>
        <w:rPr>
          <w:snapToGrid w:val="0"/>
          <w:kern w:val="0"/>
          <w:szCs w:val="21"/>
          <w:highlight w:val="none"/>
        </w:rPr>
        <w:t>仲裁委员会仲裁。</w:t>
      </w:r>
    </w:p>
    <w:p>
      <w:pPr>
        <w:spacing w:line="520" w:lineRule="exact"/>
        <w:ind w:right="-21" w:rightChars="-10" w:firstLine="420" w:firstLineChars="200"/>
        <w:rPr>
          <w:snapToGrid w:val="0"/>
          <w:kern w:val="0"/>
          <w:szCs w:val="21"/>
          <w:highlight w:val="none"/>
        </w:rPr>
      </w:pPr>
      <w:r>
        <w:rPr>
          <w:snapToGrid w:val="0"/>
          <w:kern w:val="0"/>
          <w:szCs w:val="21"/>
          <w:highlight w:val="none"/>
        </w:rPr>
        <w:t>2. 依法向人民法院起诉。</w:t>
      </w:r>
    </w:p>
    <w:p>
      <w:pPr>
        <w:adjustRightInd w:val="0"/>
        <w:snapToGrid w:val="0"/>
        <w:spacing w:line="560" w:lineRule="exact"/>
        <w:ind w:firstLine="426" w:firstLineChars="202"/>
        <w:outlineLvl w:val="0"/>
        <w:rPr>
          <w:szCs w:val="21"/>
          <w:highlight w:val="none"/>
        </w:rPr>
      </w:pPr>
      <w:bookmarkStart w:id="129" w:name="_Toc165389746"/>
      <w:bookmarkStart w:id="130" w:name="_Toc165389695"/>
      <w:r>
        <w:rPr>
          <w:b/>
          <w:szCs w:val="21"/>
          <w:highlight w:val="none"/>
        </w:rPr>
        <w:t xml:space="preserve">第十五条  </w:t>
      </w:r>
      <w:r>
        <w:rPr>
          <w:szCs w:val="21"/>
          <w:highlight w:val="none"/>
        </w:rPr>
        <w:t>与履行本合同有关的技术文件，经</w:t>
      </w:r>
      <w:r>
        <w:rPr>
          <w:szCs w:val="21"/>
          <w:highlight w:val="none"/>
          <w:u w:val="single"/>
        </w:rPr>
        <w:t xml:space="preserve"> </w:t>
      </w:r>
      <w:r>
        <w:rPr>
          <w:b/>
          <w:bCs/>
          <w:snapToGrid w:val="0"/>
          <w:kern w:val="0"/>
          <w:szCs w:val="21"/>
          <w:highlight w:val="none"/>
          <w:u w:val="single"/>
        </w:rPr>
        <w:t xml:space="preserve">双方 </w:t>
      </w:r>
      <w:r>
        <w:rPr>
          <w:szCs w:val="21"/>
          <w:highlight w:val="none"/>
        </w:rPr>
        <w:t>以书面形式确认后，为本合同的组成部分。</w:t>
      </w:r>
      <w:bookmarkEnd w:id="129"/>
      <w:bookmarkEnd w:id="130"/>
    </w:p>
    <w:p>
      <w:pPr>
        <w:spacing w:line="520" w:lineRule="exact"/>
        <w:ind w:right="-21" w:rightChars="-10" w:firstLine="420" w:firstLineChars="200"/>
        <w:rPr>
          <w:snapToGrid w:val="0"/>
          <w:kern w:val="0"/>
          <w:szCs w:val="21"/>
          <w:highlight w:val="none"/>
        </w:rPr>
      </w:pPr>
      <w:r>
        <w:rPr>
          <w:snapToGrid w:val="0"/>
          <w:kern w:val="0"/>
          <w:szCs w:val="21"/>
          <w:highlight w:val="none"/>
        </w:rPr>
        <w:t>第十六条  双方约定本合同其他相关事项为：</w:t>
      </w:r>
      <w:r>
        <w:rPr>
          <w:snapToGrid w:val="0"/>
          <w:kern w:val="0"/>
          <w:szCs w:val="21"/>
          <w:highlight w:val="none"/>
          <w:u w:val="single"/>
        </w:rPr>
        <w:t xml:space="preserve">  </w:t>
      </w:r>
      <w:r>
        <w:rPr>
          <w:b/>
          <w:bCs/>
          <w:snapToGrid w:val="0"/>
          <w:kern w:val="0"/>
          <w:szCs w:val="21"/>
          <w:highlight w:val="none"/>
          <w:u w:val="single"/>
        </w:rPr>
        <w:t>无</w:t>
      </w:r>
      <w:r>
        <w:rPr>
          <w:snapToGrid w:val="0"/>
          <w:kern w:val="0"/>
          <w:szCs w:val="21"/>
          <w:highlight w:val="none"/>
          <w:u w:val="single"/>
        </w:rPr>
        <w:t>。</w:t>
      </w:r>
    </w:p>
    <w:p>
      <w:pPr>
        <w:spacing w:line="520" w:lineRule="exact"/>
        <w:ind w:right="-21" w:rightChars="-10" w:firstLine="422" w:firstLineChars="200"/>
        <w:rPr>
          <w:szCs w:val="21"/>
          <w:highlight w:val="none"/>
        </w:rPr>
      </w:pPr>
      <w:r>
        <w:rPr>
          <w:b/>
          <w:szCs w:val="21"/>
          <w:highlight w:val="none"/>
        </w:rPr>
        <w:t xml:space="preserve">第十七条  </w:t>
      </w:r>
      <w:r>
        <w:rPr>
          <w:szCs w:val="21"/>
          <w:highlight w:val="none"/>
        </w:rPr>
        <w:t>本合同一式捌份，其中，正本二份，甲乙双方各执一份，副本六份，甲方执三份，乙方执三份，具有同等法律效力。</w:t>
      </w:r>
    </w:p>
    <w:p>
      <w:pPr>
        <w:spacing w:line="520" w:lineRule="exact"/>
        <w:ind w:right="-21" w:rightChars="-10" w:firstLine="422" w:firstLineChars="200"/>
        <w:rPr>
          <w:szCs w:val="21"/>
          <w:highlight w:val="none"/>
        </w:rPr>
      </w:pPr>
      <w:r>
        <w:rPr>
          <w:b/>
          <w:szCs w:val="21"/>
          <w:highlight w:val="none"/>
        </w:rPr>
        <w:t>第十八条</w:t>
      </w:r>
      <w:r>
        <w:rPr>
          <w:szCs w:val="21"/>
          <w:highlight w:val="none"/>
        </w:rPr>
        <w:t xml:space="preserve">  本合同自双方法人代表或授权代表签字并盖章之日起生效，履行完成合同规定的义务后自行终止。</w:t>
      </w:r>
    </w:p>
    <w:tbl>
      <w:tblPr>
        <w:tblStyle w:val="32"/>
        <w:tblpPr w:leftFromText="180" w:rightFromText="180" w:vertAnchor="text" w:horzAnchor="margin" w:tblpY="1460"/>
        <w:tblOverlap w:val="never"/>
        <w:tblW w:w="9558" w:type="dxa"/>
        <w:tblInd w:w="0" w:type="dxa"/>
        <w:tblLayout w:type="fixed"/>
        <w:tblCellMar>
          <w:top w:w="0" w:type="dxa"/>
          <w:left w:w="108" w:type="dxa"/>
          <w:bottom w:w="0" w:type="dxa"/>
          <w:right w:w="108" w:type="dxa"/>
        </w:tblCellMar>
      </w:tblPr>
      <w:tblGrid>
        <w:gridCol w:w="4639"/>
        <w:gridCol w:w="4919"/>
      </w:tblGrid>
      <w:tr>
        <w:tblPrEx>
          <w:tblCellMar>
            <w:top w:w="0" w:type="dxa"/>
            <w:left w:w="108" w:type="dxa"/>
            <w:bottom w:w="0" w:type="dxa"/>
            <w:right w:w="108" w:type="dxa"/>
          </w:tblCellMar>
        </w:tblPrEx>
        <w:tc>
          <w:tcPr>
            <w:tcW w:w="4639" w:type="dxa"/>
          </w:tcPr>
          <w:p>
            <w:pPr>
              <w:tabs>
                <w:tab w:val="left" w:pos="3885"/>
              </w:tabs>
              <w:spacing w:line="480" w:lineRule="exact"/>
              <w:rPr>
                <w:rFonts w:eastAsia="楷体_GB2312"/>
                <w:snapToGrid w:val="0"/>
                <w:kern w:val="0"/>
                <w:sz w:val="28"/>
                <w:highlight w:val="none"/>
                <w:u w:val="single"/>
              </w:rPr>
            </w:pPr>
            <w:r>
              <w:rPr>
                <w:spacing w:val="8"/>
                <w:sz w:val="28"/>
                <w:highlight w:val="none"/>
              </w:rPr>
              <w:t>甲方：</w:t>
            </w:r>
            <w:r>
              <w:rPr>
                <w:rFonts w:eastAsia="楷体_GB2312"/>
                <w:snapToGrid w:val="0"/>
                <w:kern w:val="0"/>
                <w:sz w:val="28"/>
                <w:highlight w:val="none"/>
                <w:u w:val="single"/>
              </w:rPr>
              <w:t xml:space="preserve"> </w:t>
            </w:r>
          </w:p>
          <w:p>
            <w:pPr>
              <w:tabs>
                <w:tab w:val="left" w:pos="3885"/>
              </w:tabs>
              <w:spacing w:line="480" w:lineRule="exact"/>
              <w:ind w:firstLine="2373" w:firstLineChars="1050"/>
              <w:rPr>
                <w:spacing w:val="8"/>
                <w:highlight w:val="none"/>
              </w:rPr>
            </w:pPr>
          </w:p>
          <w:p>
            <w:pPr>
              <w:tabs>
                <w:tab w:val="left" w:pos="3885"/>
              </w:tabs>
              <w:spacing w:line="480" w:lineRule="exact"/>
              <w:ind w:firstLine="2373" w:firstLineChars="1050"/>
              <w:rPr>
                <w:spacing w:val="8"/>
                <w:sz w:val="28"/>
                <w:highlight w:val="none"/>
              </w:rPr>
            </w:pPr>
            <w:r>
              <w:rPr>
                <w:rFonts w:hint="eastAsia" w:ascii="宋体" w:hAnsi="宋体" w:cs="宋体"/>
                <w:spacing w:val="8"/>
                <w:highlight w:val="none"/>
              </w:rPr>
              <w:t>（盖章）</w:t>
            </w:r>
          </w:p>
        </w:tc>
        <w:tc>
          <w:tcPr>
            <w:tcW w:w="4919" w:type="dxa"/>
          </w:tcPr>
          <w:p>
            <w:pPr>
              <w:tabs>
                <w:tab w:val="left" w:pos="3885"/>
              </w:tabs>
              <w:spacing w:line="480" w:lineRule="exact"/>
              <w:rPr>
                <w:spacing w:val="8"/>
                <w:sz w:val="28"/>
                <w:highlight w:val="none"/>
              </w:rPr>
            </w:pPr>
            <w:r>
              <w:rPr>
                <w:spacing w:val="8"/>
                <w:sz w:val="28"/>
                <w:highlight w:val="none"/>
              </w:rPr>
              <w:t>乙方：</w:t>
            </w:r>
          </w:p>
          <w:p>
            <w:pPr>
              <w:tabs>
                <w:tab w:val="left" w:pos="3885"/>
              </w:tabs>
              <w:spacing w:line="480" w:lineRule="exact"/>
              <w:rPr>
                <w:spacing w:val="8"/>
                <w:sz w:val="28"/>
                <w:highlight w:val="none"/>
              </w:rPr>
            </w:pPr>
          </w:p>
          <w:p>
            <w:pPr>
              <w:tabs>
                <w:tab w:val="left" w:pos="3885"/>
              </w:tabs>
              <w:spacing w:line="480" w:lineRule="exact"/>
              <w:ind w:firstLine="2599" w:firstLineChars="1150"/>
              <w:rPr>
                <w:spacing w:val="8"/>
                <w:highlight w:val="none"/>
              </w:rPr>
            </w:pPr>
            <w:r>
              <w:rPr>
                <w:spacing w:val="8"/>
                <w:highlight w:val="none"/>
              </w:rPr>
              <w:t>（盖章）</w:t>
            </w:r>
          </w:p>
          <w:p>
            <w:pPr>
              <w:tabs>
                <w:tab w:val="left" w:pos="3885"/>
              </w:tabs>
              <w:spacing w:line="480" w:lineRule="exact"/>
              <w:rPr>
                <w:spacing w:val="8"/>
                <w:sz w:val="28"/>
                <w:highlight w:val="none"/>
              </w:rPr>
            </w:pPr>
          </w:p>
        </w:tc>
      </w:tr>
      <w:tr>
        <w:tblPrEx>
          <w:tblCellMar>
            <w:top w:w="0" w:type="dxa"/>
            <w:left w:w="108" w:type="dxa"/>
            <w:bottom w:w="0" w:type="dxa"/>
            <w:right w:w="108" w:type="dxa"/>
          </w:tblCellMar>
        </w:tblPrEx>
        <w:tc>
          <w:tcPr>
            <w:tcW w:w="4639" w:type="dxa"/>
          </w:tcPr>
          <w:p>
            <w:pPr>
              <w:tabs>
                <w:tab w:val="left" w:pos="3885"/>
              </w:tabs>
              <w:spacing w:line="480" w:lineRule="exact"/>
              <w:rPr>
                <w:sz w:val="28"/>
                <w:highlight w:val="none"/>
              </w:rPr>
            </w:pPr>
            <w:r>
              <w:rPr>
                <w:sz w:val="28"/>
                <w:highlight w:val="none"/>
              </w:rPr>
              <w:t>法定代表人/委托代理人：</w:t>
            </w:r>
          </w:p>
          <w:p>
            <w:pPr>
              <w:tabs>
                <w:tab w:val="left" w:pos="3885"/>
              </w:tabs>
              <w:spacing w:line="480" w:lineRule="exact"/>
              <w:rPr>
                <w:sz w:val="28"/>
                <w:highlight w:val="none"/>
              </w:rPr>
            </w:pPr>
          </w:p>
          <w:p>
            <w:pPr>
              <w:tabs>
                <w:tab w:val="left" w:pos="3885"/>
              </w:tabs>
              <w:spacing w:line="480" w:lineRule="exact"/>
              <w:ind w:firstLine="1260" w:firstLineChars="450"/>
              <w:rPr>
                <w:sz w:val="28"/>
                <w:highlight w:val="none"/>
              </w:rPr>
            </w:pPr>
            <w:r>
              <w:rPr>
                <w:sz w:val="28"/>
                <w:highlight w:val="none"/>
              </w:rPr>
              <w:t>_____________（签名）</w:t>
            </w:r>
          </w:p>
          <w:p>
            <w:pPr>
              <w:tabs>
                <w:tab w:val="left" w:pos="3885"/>
              </w:tabs>
              <w:spacing w:line="480" w:lineRule="exact"/>
              <w:ind w:firstLine="1260" w:firstLineChars="450"/>
              <w:rPr>
                <w:sz w:val="28"/>
                <w:highlight w:val="none"/>
              </w:rPr>
            </w:pPr>
            <w:r>
              <w:rPr>
                <w:sz w:val="28"/>
                <w:highlight w:val="none"/>
              </w:rPr>
              <w:t xml:space="preserve">   年   月   日</w:t>
            </w:r>
          </w:p>
        </w:tc>
        <w:tc>
          <w:tcPr>
            <w:tcW w:w="4919" w:type="dxa"/>
          </w:tcPr>
          <w:p>
            <w:pPr>
              <w:tabs>
                <w:tab w:val="left" w:pos="3885"/>
              </w:tabs>
              <w:spacing w:line="480" w:lineRule="exact"/>
              <w:rPr>
                <w:sz w:val="28"/>
                <w:highlight w:val="none"/>
              </w:rPr>
            </w:pPr>
            <w:r>
              <w:rPr>
                <w:sz w:val="28"/>
                <w:highlight w:val="none"/>
              </w:rPr>
              <w:t>法定代表人/委托代理人：</w:t>
            </w:r>
          </w:p>
          <w:p>
            <w:pPr>
              <w:tabs>
                <w:tab w:val="left" w:pos="3885"/>
              </w:tabs>
              <w:spacing w:line="480" w:lineRule="exact"/>
              <w:rPr>
                <w:sz w:val="28"/>
                <w:highlight w:val="none"/>
              </w:rPr>
            </w:pPr>
          </w:p>
          <w:p>
            <w:pPr>
              <w:tabs>
                <w:tab w:val="left" w:pos="3885"/>
              </w:tabs>
              <w:spacing w:line="480" w:lineRule="exact"/>
              <w:ind w:firstLine="1540" w:firstLineChars="550"/>
              <w:rPr>
                <w:sz w:val="28"/>
                <w:highlight w:val="none"/>
              </w:rPr>
            </w:pPr>
            <w:r>
              <w:rPr>
                <w:sz w:val="28"/>
                <w:highlight w:val="none"/>
              </w:rPr>
              <w:t>_____________（签名）</w:t>
            </w:r>
          </w:p>
          <w:p>
            <w:pPr>
              <w:tabs>
                <w:tab w:val="left" w:pos="3885"/>
              </w:tabs>
              <w:spacing w:line="480" w:lineRule="exact"/>
              <w:ind w:firstLine="1540" w:firstLineChars="550"/>
              <w:rPr>
                <w:sz w:val="28"/>
                <w:highlight w:val="none"/>
              </w:rPr>
            </w:pPr>
            <w:r>
              <w:rPr>
                <w:sz w:val="28"/>
                <w:highlight w:val="none"/>
              </w:rPr>
              <w:t xml:space="preserve">   年   月   日</w:t>
            </w:r>
          </w:p>
          <w:p>
            <w:pPr>
              <w:tabs>
                <w:tab w:val="left" w:pos="3885"/>
              </w:tabs>
              <w:spacing w:line="480" w:lineRule="exact"/>
              <w:ind w:firstLine="740" w:firstLineChars="250"/>
              <w:rPr>
                <w:spacing w:val="8"/>
                <w:sz w:val="28"/>
                <w:highlight w:val="none"/>
              </w:rPr>
            </w:pPr>
          </w:p>
        </w:tc>
      </w:tr>
    </w:tbl>
    <w:p>
      <w:pPr>
        <w:spacing w:line="520" w:lineRule="exact"/>
        <w:ind w:right="-21" w:rightChars="-10" w:firstLine="452" w:firstLineChars="200"/>
        <w:rPr>
          <w:spacing w:val="8"/>
          <w:sz w:val="28"/>
          <w:highlight w:val="none"/>
        </w:rPr>
      </w:pPr>
      <w:r>
        <w:rPr>
          <w:spacing w:val="8"/>
          <w:szCs w:val="21"/>
          <w:highlight w:val="none"/>
        </w:rPr>
        <w:t xml:space="preserve"> </w:t>
      </w:r>
    </w:p>
    <w:p>
      <w:pPr>
        <w:pStyle w:val="4"/>
        <w:jc w:val="center"/>
        <w:rPr>
          <w:rFonts w:ascii="宋体" w:hAnsi="宋体" w:cs="宋体"/>
          <w:color w:val="000000"/>
          <w:highlight w:val="none"/>
        </w:rPr>
      </w:pPr>
    </w:p>
    <w:p>
      <w:pPr>
        <w:rPr>
          <w:rFonts w:ascii="宋体" w:hAnsi="宋体" w:cs="宋体"/>
          <w:color w:val="000000"/>
          <w:highlight w:val="none"/>
        </w:rPr>
      </w:pPr>
      <w:bookmarkStart w:id="131" w:name="_Toc294120581"/>
      <w:bookmarkStart w:id="132" w:name="_Toc309533368"/>
      <w:bookmarkStart w:id="133" w:name="_Toc294117573"/>
      <w:bookmarkStart w:id="134" w:name="_Toc309534193"/>
      <w:bookmarkStart w:id="135" w:name="_Toc294120945"/>
      <w:bookmarkStart w:id="136" w:name="_Toc247079379"/>
      <w:bookmarkStart w:id="137" w:name="_Toc294120144"/>
      <w:bookmarkStart w:id="138" w:name="_Toc295906945"/>
      <w:bookmarkStart w:id="139" w:name="_Toc211162712"/>
      <w:bookmarkStart w:id="140" w:name="_Toc309533761"/>
      <w:bookmarkStart w:id="141" w:name="_Toc294119969"/>
      <w:bookmarkStart w:id="142" w:name="_Toc294120764"/>
      <w:bookmarkStart w:id="143" w:name="_Toc294122013"/>
      <w:bookmarkStart w:id="144" w:name="_Toc310088849"/>
      <w:bookmarkStart w:id="145" w:name="_Toc311205798"/>
      <w:bookmarkStart w:id="146" w:name="_Toc294117154"/>
    </w:p>
    <w:p>
      <w:pPr>
        <w:pStyle w:val="4"/>
        <w:jc w:val="center"/>
        <w:rPr>
          <w:rFonts w:ascii="宋体" w:hAnsi="宋体" w:cs="宋体"/>
          <w:color w:val="000000"/>
          <w:sz w:val="32"/>
          <w:highlight w:val="none"/>
        </w:rPr>
      </w:pPr>
      <w:r>
        <w:rPr>
          <w:rFonts w:hint="eastAsia" w:ascii="宋体" w:hAnsi="宋体" w:cs="宋体"/>
          <w:color w:val="000000"/>
          <w:sz w:val="32"/>
          <w:highlight w:val="none"/>
        </w:rPr>
        <w:br w:type="page"/>
      </w:r>
    </w:p>
    <w:p>
      <w:pPr>
        <w:pStyle w:val="4"/>
        <w:jc w:val="center"/>
        <w:rPr>
          <w:rFonts w:ascii="宋体" w:hAnsi="宋体" w:cs="宋体"/>
          <w:color w:val="000000"/>
          <w:sz w:val="32"/>
          <w:highlight w:val="none"/>
        </w:rPr>
      </w:pPr>
    </w:p>
    <w:p>
      <w:pPr>
        <w:pStyle w:val="4"/>
        <w:jc w:val="center"/>
        <w:rPr>
          <w:rFonts w:ascii="宋体" w:hAnsi="宋体" w:cs="宋体"/>
          <w:color w:val="000000"/>
          <w:sz w:val="32"/>
          <w:highlight w:val="none"/>
        </w:rPr>
      </w:pPr>
    </w:p>
    <w:p>
      <w:pPr>
        <w:pStyle w:val="4"/>
        <w:jc w:val="center"/>
        <w:rPr>
          <w:rFonts w:ascii="宋体" w:hAnsi="宋体" w:cs="宋体"/>
          <w:color w:val="000000"/>
          <w:sz w:val="32"/>
          <w:highlight w:val="none"/>
        </w:rPr>
      </w:pPr>
    </w:p>
    <w:p>
      <w:pPr>
        <w:pStyle w:val="4"/>
        <w:jc w:val="center"/>
        <w:rPr>
          <w:rFonts w:ascii="宋体" w:hAnsi="宋体" w:cs="宋体"/>
          <w:color w:val="000000"/>
          <w:sz w:val="32"/>
          <w:highlight w:val="none"/>
        </w:rPr>
      </w:pPr>
    </w:p>
    <w:p>
      <w:pPr>
        <w:pStyle w:val="4"/>
        <w:jc w:val="center"/>
        <w:rPr>
          <w:rFonts w:ascii="宋体" w:hAnsi="宋体" w:cs="宋体"/>
          <w:color w:val="000000"/>
          <w:sz w:val="32"/>
          <w:highlight w:val="none"/>
        </w:rPr>
      </w:pPr>
    </w:p>
    <w:p>
      <w:pPr>
        <w:rPr>
          <w:rFonts w:ascii="宋体" w:hAnsi="宋体" w:cs="宋体"/>
          <w:color w:val="000000"/>
          <w:sz w:val="32"/>
          <w:highlight w:val="none"/>
        </w:rPr>
      </w:pPr>
    </w:p>
    <w:p>
      <w:pPr>
        <w:pStyle w:val="25"/>
        <w:tabs>
          <w:tab w:val="right" w:leader="dot" w:pos="9639"/>
        </w:tabs>
        <w:rPr>
          <w:rFonts w:ascii="宋体" w:hAnsi="宋体" w:cs="宋体"/>
          <w:highlight w:val="none"/>
        </w:rPr>
      </w:pPr>
    </w:p>
    <w:p>
      <w:pPr>
        <w:pStyle w:val="4"/>
        <w:jc w:val="center"/>
        <w:rPr>
          <w:rFonts w:ascii="宋体" w:hAnsi="宋体" w:cs="宋体"/>
          <w:color w:val="000000"/>
          <w:sz w:val="32"/>
          <w:highlight w:val="none"/>
        </w:rPr>
      </w:pPr>
    </w:p>
    <w:p>
      <w:pPr>
        <w:pStyle w:val="4"/>
        <w:jc w:val="center"/>
        <w:rPr>
          <w:rFonts w:ascii="宋体" w:hAnsi="宋体" w:cs="宋体"/>
          <w:color w:val="000000"/>
          <w:sz w:val="32"/>
          <w:highlight w:val="none"/>
        </w:rPr>
      </w:pPr>
      <w:bookmarkStart w:id="147" w:name="_Toc8503"/>
      <w:bookmarkStart w:id="148" w:name="_Toc13709"/>
      <w:r>
        <w:rPr>
          <w:rFonts w:hint="eastAsia" w:ascii="宋体" w:hAnsi="宋体" w:cs="宋体"/>
          <w:color w:val="000000"/>
          <w:sz w:val="32"/>
          <w:highlight w:val="none"/>
        </w:rPr>
        <w:t>第二节 合同附件格式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pStyle w:val="3"/>
        <w:spacing w:line="360" w:lineRule="auto"/>
        <w:rPr>
          <w:rFonts w:ascii="宋体" w:hAnsi="宋体" w:cs="宋体"/>
          <w:b w:val="0"/>
          <w:sz w:val="24"/>
          <w:highlight w:val="none"/>
        </w:rPr>
      </w:pPr>
      <w:bookmarkStart w:id="149" w:name="_Toc311205799"/>
      <w:bookmarkStart w:id="150" w:name="_Toc310088850"/>
      <w:r>
        <w:rPr>
          <w:rFonts w:hint="eastAsia" w:ascii="宋体" w:hAnsi="宋体" w:cs="宋体"/>
          <w:color w:val="000000"/>
          <w:sz w:val="28"/>
          <w:szCs w:val="28"/>
          <w:highlight w:val="none"/>
        </w:rPr>
        <w:br w:type="page"/>
      </w:r>
      <w:bookmarkEnd w:id="149"/>
      <w:bookmarkEnd w:id="150"/>
      <w:bookmarkStart w:id="151" w:name="_Toc165389696"/>
      <w:bookmarkStart w:id="152" w:name="_Toc165389747"/>
      <w:bookmarkStart w:id="153" w:name="_Toc22505"/>
      <w:bookmarkStart w:id="154" w:name="_Toc20014"/>
      <w:r>
        <w:rPr>
          <w:rFonts w:hint="eastAsia" w:ascii="宋体" w:hAnsi="宋体" w:cs="宋体"/>
          <w:color w:val="000000"/>
          <w:sz w:val="28"/>
          <w:szCs w:val="28"/>
          <w:highlight w:val="none"/>
        </w:rPr>
        <w:t>附件一：</w:t>
      </w:r>
      <w:bookmarkEnd w:id="151"/>
      <w:bookmarkEnd w:id="152"/>
      <w:r>
        <w:rPr>
          <w:rFonts w:hint="eastAsia" w:ascii="宋体" w:hAnsi="宋体" w:cs="宋体"/>
          <w:color w:val="000000"/>
          <w:sz w:val="28"/>
          <w:szCs w:val="28"/>
          <w:highlight w:val="none"/>
        </w:rPr>
        <w:t xml:space="preserve"> </w:t>
      </w:r>
      <w:bookmarkEnd w:id="153"/>
      <w:bookmarkEnd w:id="154"/>
    </w:p>
    <w:p>
      <w:pPr>
        <w:spacing w:line="360" w:lineRule="auto"/>
        <w:jc w:val="center"/>
        <w:rPr>
          <w:highlight w:val="none"/>
        </w:rPr>
      </w:pPr>
      <w:r>
        <w:rPr>
          <w:rFonts w:hint="eastAsia" w:ascii="宋体" w:hAnsi="宋体" w:cs="宋体"/>
          <w:b/>
          <w:sz w:val="32"/>
          <w:szCs w:val="32"/>
          <w:highlight w:val="none"/>
        </w:rPr>
        <w:t>廉洁协议书</w:t>
      </w:r>
    </w:p>
    <w:p>
      <w:pPr>
        <w:spacing w:line="520" w:lineRule="exact"/>
        <w:rPr>
          <w:rFonts w:eastAsia="仿宋_GB2312"/>
          <w:b/>
          <w:bCs/>
          <w:sz w:val="28"/>
          <w:szCs w:val="28"/>
          <w:highlight w:val="none"/>
        </w:rPr>
      </w:pPr>
    </w:p>
    <w:p>
      <w:pPr>
        <w:rPr>
          <w:rFonts w:eastAsia="仿宋_GB2312"/>
          <w:b/>
          <w:bCs/>
          <w:sz w:val="24"/>
          <w:highlight w:val="none"/>
          <w:u w:val="single"/>
        </w:rPr>
      </w:pPr>
      <w:r>
        <w:rPr>
          <w:rFonts w:eastAsia="仿宋_GB2312"/>
          <w:b/>
          <w:bCs/>
          <w:sz w:val="24"/>
          <w:highlight w:val="none"/>
        </w:rPr>
        <w:t>合同名称：</w:t>
      </w:r>
      <w:r>
        <w:rPr>
          <w:rFonts w:hint="eastAsia" w:eastAsia="仿宋_GB2312"/>
          <w:b/>
          <w:bCs/>
          <w:sz w:val="24"/>
          <w:highlight w:val="none"/>
          <w:u w:val="single"/>
        </w:rPr>
        <w:t xml:space="preserve">吉林省中部城市引松供水工程标准化管理咨询    </w:t>
      </w:r>
      <w:r>
        <w:rPr>
          <w:rFonts w:eastAsia="仿宋_GB2312"/>
          <w:b/>
          <w:bCs/>
          <w:sz w:val="24"/>
          <w:highlight w:val="none"/>
          <w:u w:val="single"/>
        </w:rPr>
        <w:t xml:space="preserve"> </w:t>
      </w:r>
    </w:p>
    <w:p>
      <w:pPr>
        <w:spacing w:line="520" w:lineRule="exact"/>
        <w:rPr>
          <w:rFonts w:eastAsia="仿宋_GB2312"/>
          <w:b/>
          <w:bCs/>
          <w:sz w:val="24"/>
          <w:highlight w:val="none"/>
          <w:u w:val="single"/>
        </w:rPr>
      </w:pPr>
      <w:r>
        <w:rPr>
          <w:rFonts w:hint="eastAsia" w:eastAsia="仿宋_GB2312"/>
          <w:b/>
          <w:bCs/>
          <w:sz w:val="24"/>
          <w:highlight w:val="none"/>
        </w:rPr>
        <w:t>甲</w:t>
      </w:r>
      <w:r>
        <w:rPr>
          <w:b/>
          <w:bCs/>
          <w:sz w:val="24"/>
          <w:highlight w:val="none"/>
        </w:rPr>
        <w:t xml:space="preserve">    </w:t>
      </w:r>
      <w:r>
        <w:rPr>
          <w:rFonts w:hint="eastAsia" w:eastAsia="仿宋_GB2312"/>
          <w:b/>
          <w:bCs/>
          <w:sz w:val="24"/>
          <w:highlight w:val="none"/>
        </w:rPr>
        <w:t>方：</w:t>
      </w:r>
      <w:r>
        <w:rPr>
          <w:rFonts w:eastAsia="仿宋_GB2312"/>
          <w:b/>
          <w:bCs/>
          <w:sz w:val="24"/>
          <w:highlight w:val="none"/>
          <w:u w:val="single"/>
        </w:rPr>
        <w:t xml:space="preserve"> </w:t>
      </w:r>
      <w:r>
        <w:rPr>
          <w:rFonts w:hint="eastAsia" w:eastAsia="仿宋_GB2312"/>
          <w:b/>
          <w:bCs/>
          <w:sz w:val="24"/>
          <w:highlight w:val="none"/>
          <w:u w:val="single"/>
        </w:rPr>
        <w:t>吉林省城市供水有限公司</w:t>
      </w:r>
      <w:r>
        <w:rPr>
          <w:rFonts w:eastAsia="仿宋_GB2312"/>
          <w:b/>
          <w:bCs/>
          <w:sz w:val="24"/>
          <w:highlight w:val="none"/>
          <w:u w:val="single"/>
        </w:rPr>
        <w:t xml:space="preserve">                    </w:t>
      </w:r>
    </w:p>
    <w:p>
      <w:pPr>
        <w:spacing w:line="520" w:lineRule="exact"/>
        <w:rPr>
          <w:rFonts w:eastAsia="仿宋_GB2312"/>
          <w:b/>
          <w:bCs/>
          <w:sz w:val="24"/>
          <w:highlight w:val="none"/>
          <w:u w:val="single"/>
        </w:rPr>
      </w:pPr>
      <w:r>
        <w:rPr>
          <w:rFonts w:hint="eastAsia" w:eastAsia="仿宋_GB2312"/>
          <w:b/>
          <w:bCs/>
          <w:sz w:val="24"/>
          <w:highlight w:val="none"/>
        </w:rPr>
        <w:t>乙</w:t>
      </w:r>
      <w:r>
        <w:rPr>
          <w:rFonts w:eastAsia="仿宋_GB2312"/>
          <w:b/>
          <w:bCs/>
          <w:sz w:val="24"/>
          <w:highlight w:val="none"/>
        </w:rPr>
        <w:t xml:space="preserve">    </w:t>
      </w:r>
      <w:r>
        <w:rPr>
          <w:rFonts w:hint="eastAsia" w:eastAsia="仿宋_GB2312"/>
          <w:b/>
          <w:bCs/>
          <w:sz w:val="24"/>
          <w:highlight w:val="none"/>
        </w:rPr>
        <w:t>方：</w:t>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eastAsia="仿宋_GB2312"/>
          <w:b/>
          <w:bCs/>
          <w:sz w:val="24"/>
          <w:highlight w:val="none"/>
          <w:u w:val="single"/>
        </w:rPr>
        <w:tab/>
      </w:r>
      <w:r>
        <w:rPr>
          <w:rFonts w:hint="eastAsia" w:eastAsia="仿宋_GB2312"/>
          <w:b/>
          <w:bCs/>
          <w:sz w:val="24"/>
          <w:highlight w:val="none"/>
          <w:u w:val="single"/>
        </w:rPr>
        <w:t xml:space="preserve">     </w:t>
      </w:r>
      <w:r>
        <w:rPr>
          <w:rFonts w:eastAsia="仿宋_GB2312"/>
          <w:b/>
          <w:bCs/>
          <w:sz w:val="24"/>
          <w:highlight w:val="none"/>
          <w:u w:val="single"/>
        </w:rPr>
        <w:tab/>
      </w:r>
      <w:r>
        <w:rPr>
          <w:rFonts w:eastAsia="仿宋_GB2312"/>
          <w:b/>
          <w:bCs/>
          <w:sz w:val="24"/>
          <w:highlight w:val="none"/>
          <w:u w:val="single"/>
        </w:rPr>
        <w:tab/>
      </w:r>
    </w:p>
    <w:p>
      <w:pPr>
        <w:spacing w:line="520" w:lineRule="exact"/>
        <w:ind w:firstLine="480" w:firstLineChars="200"/>
        <w:rPr>
          <w:rFonts w:eastAsia="仿宋_GB2312"/>
          <w:sz w:val="24"/>
          <w:highlight w:val="none"/>
        </w:rPr>
      </w:pPr>
      <w:r>
        <w:rPr>
          <w:rFonts w:eastAsia="仿宋_GB2312"/>
          <w:sz w:val="24"/>
          <w:highlight w:val="none"/>
        </w:rPr>
        <w:t>为加强合同执行过程中的廉政建设，规范甲乙双方行为，防止发生各种谋取不正当利益的违法违纪问题，保护国家、集体和当事人的合法权益，根据党和国家有关法律法规和廉政建设的规定，甲乙双方特订立本</w:t>
      </w:r>
      <w:r>
        <w:rPr>
          <w:rFonts w:hint="eastAsia" w:eastAsia="仿宋_GB2312"/>
          <w:sz w:val="24"/>
          <w:highlight w:val="none"/>
        </w:rPr>
        <w:t>廉洁</w:t>
      </w:r>
      <w:r>
        <w:rPr>
          <w:rFonts w:eastAsia="仿宋_GB2312"/>
          <w:sz w:val="24"/>
          <w:highlight w:val="none"/>
        </w:rPr>
        <w:t>协议书。</w:t>
      </w:r>
    </w:p>
    <w:p>
      <w:pPr>
        <w:spacing w:line="520" w:lineRule="exact"/>
        <w:ind w:firstLine="482" w:firstLineChars="200"/>
        <w:rPr>
          <w:rFonts w:eastAsia="仿宋_GB2312"/>
          <w:sz w:val="24"/>
          <w:highlight w:val="none"/>
        </w:rPr>
      </w:pPr>
      <w:r>
        <w:rPr>
          <w:rFonts w:eastAsia="仿宋_GB2312"/>
          <w:b/>
          <w:bCs/>
          <w:sz w:val="24"/>
          <w:highlight w:val="none"/>
        </w:rPr>
        <w:t>第一条  甲乙双方共同的权利和义务</w:t>
      </w:r>
    </w:p>
    <w:p>
      <w:pPr>
        <w:spacing w:line="520" w:lineRule="exact"/>
        <w:ind w:firstLine="480" w:firstLineChars="200"/>
        <w:rPr>
          <w:rFonts w:eastAsia="仿宋_GB2312"/>
          <w:sz w:val="24"/>
          <w:highlight w:val="none"/>
        </w:rPr>
      </w:pPr>
      <w:r>
        <w:rPr>
          <w:rFonts w:eastAsia="仿宋_GB2312"/>
          <w:sz w:val="24"/>
          <w:highlight w:val="none"/>
        </w:rPr>
        <w:t>（一）严格遵守党和国家有关法律法规，以及廉政建设的各项规定。</w:t>
      </w:r>
    </w:p>
    <w:p>
      <w:pPr>
        <w:spacing w:line="520" w:lineRule="exact"/>
        <w:ind w:firstLine="480" w:firstLineChars="200"/>
        <w:rPr>
          <w:rFonts w:eastAsia="仿宋_GB2312"/>
          <w:sz w:val="24"/>
          <w:highlight w:val="none"/>
        </w:rPr>
      </w:pPr>
      <w:r>
        <w:rPr>
          <w:rFonts w:eastAsia="仿宋_GB2312"/>
          <w:sz w:val="24"/>
          <w:highlight w:val="none"/>
        </w:rPr>
        <w:t>（二）双方的业务活动坚持公开、公正、诚信、透明的原则（除法律认为的商业机密和合同文件另有规定之外），不得损害国家和集体利益，不得违反相关规章制度。</w:t>
      </w:r>
    </w:p>
    <w:p>
      <w:pPr>
        <w:spacing w:line="520" w:lineRule="exact"/>
        <w:ind w:firstLine="480" w:firstLineChars="200"/>
        <w:rPr>
          <w:rFonts w:eastAsia="仿宋_GB2312"/>
          <w:sz w:val="24"/>
          <w:highlight w:val="none"/>
        </w:rPr>
      </w:pPr>
      <w:r>
        <w:rPr>
          <w:rFonts w:eastAsia="仿宋_GB2312"/>
          <w:sz w:val="24"/>
          <w:highlight w:val="none"/>
        </w:rPr>
        <w:t>（三）建立健全廉政制度，开展廉政教育和监督，并认真查处违法违纪行为。</w:t>
      </w:r>
    </w:p>
    <w:p>
      <w:pPr>
        <w:spacing w:line="520" w:lineRule="exact"/>
        <w:ind w:firstLine="480" w:firstLineChars="200"/>
        <w:rPr>
          <w:rFonts w:eastAsia="仿宋_GB2312"/>
          <w:sz w:val="24"/>
          <w:highlight w:val="none"/>
        </w:rPr>
      </w:pPr>
      <w:r>
        <w:rPr>
          <w:rFonts w:eastAsia="仿宋_GB2312"/>
          <w:sz w:val="24"/>
          <w:highlight w:val="none"/>
        </w:rPr>
        <w:t>（四）发现对方在业务活动中有违反廉政规定的行为，有及时提醒并纠正的权利和义务。</w:t>
      </w:r>
    </w:p>
    <w:p>
      <w:pPr>
        <w:spacing w:line="520" w:lineRule="exact"/>
        <w:ind w:firstLine="480" w:firstLineChars="200"/>
        <w:rPr>
          <w:rFonts w:eastAsia="仿宋_GB2312"/>
          <w:sz w:val="24"/>
          <w:highlight w:val="none"/>
        </w:rPr>
      </w:pPr>
      <w:r>
        <w:rPr>
          <w:rFonts w:eastAsia="仿宋_GB2312"/>
          <w:sz w:val="24"/>
          <w:highlight w:val="none"/>
        </w:rPr>
        <w:t>（五）发现对方严重违反本合同义务条款的行为，有向其纪检部门或上级有关部门举报、要求调查处理并告知结果的权利。</w:t>
      </w:r>
    </w:p>
    <w:p>
      <w:pPr>
        <w:spacing w:line="520" w:lineRule="exact"/>
        <w:ind w:firstLine="482" w:firstLineChars="200"/>
        <w:rPr>
          <w:rFonts w:eastAsia="仿宋_GB2312"/>
          <w:b/>
          <w:bCs/>
          <w:sz w:val="24"/>
          <w:highlight w:val="none"/>
        </w:rPr>
      </w:pPr>
      <w:r>
        <w:rPr>
          <w:rFonts w:eastAsia="仿宋_GB2312"/>
          <w:b/>
          <w:bCs/>
          <w:sz w:val="24"/>
          <w:highlight w:val="none"/>
        </w:rPr>
        <w:t>第二条  甲方义务</w:t>
      </w:r>
    </w:p>
    <w:p>
      <w:pPr>
        <w:spacing w:line="520" w:lineRule="exact"/>
        <w:ind w:firstLine="480" w:firstLineChars="200"/>
        <w:rPr>
          <w:rFonts w:eastAsia="仿宋_GB2312"/>
          <w:sz w:val="24"/>
          <w:highlight w:val="none"/>
        </w:rPr>
      </w:pPr>
      <w:r>
        <w:rPr>
          <w:rFonts w:eastAsia="仿宋_GB2312"/>
          <w:sz w:val="24"/>
          <w:highlight w:val="none"/>
        </w:rPr>
        <w:t>（一）甲方及其工作人员不得索要回扣或接受乙方的礼品、礼金、消费卡和有价证券、股权、其他金融产品等财物；不得在乙方报销任何应由甲方单位或个人支付的费用等。</w:t>
      </w:r>
    </w:p>
    <w:p>
      <w:pPr>
        <w:spacing w:line="520" w:lineRule="exact"/>
        <w:ind w:firstLine="480" w:firstLineChars="200"/>
        <w:rPr>
          <w:rFonts w:eastAsia="仿宋_GB2312"/>
          <w:sz w:val="24"/>
          <w:highlight w:val="none"/>
        </w:rPr>
      </w:pPr>
      <w:r>
        <w:rPr>
          <w:rFonts w:eastAsia="仿宋_GB2312"/>
          <w:sz w:val="24"/>
          <w:highlight w:val="none"/>
        </w:rPr>
        <w:t>（二）甲方工作人员不得参加乙方安排的可能影响公正执行公务的宴请或者旅游、健身、娱乐等活动安排；不得接受乙方提供的通讯工具、交通工具和高档办公用品等。</w:t>
      </w:r>
    </w:p>
    <w:p>
      <w:pPr>
        <w:spacing w:line="520" w:lineRule="exact"/>
        <w:ind w:firstLine="480" w:firstLineChars="200"/>
        <w:rPr>
          <w:rFonts w:eastAsia="仿宋_GB2312"/>
          <w:sz w:val="24"/>
          <w:highlight w:val="none"/>
        </w:rPr>
      </w:pPr>
      <w:r>
        <w:rPr>
          <w:rFonts w:eastAsia="仿宋_GB2312"/>
          <w:sz w:val="24"/>
          <w:highlight w:val="none"/>
        </w:rPr>
        <w:t>（三）甲方及其工作人员不得要求或者接受乙方为其住房装修、婚丧嫁娶活动以及出国出境、旅游支付费用或提供方便等。</w:t>
      </w:r>
    </w:p>
    <w:p>
      <w:pPr>
        <w:spacing w:line="520" w:lineRule="exact"/>
        <w:ind w:firstLine="480" w:firstLineChars="200"/>
        <w:rPr>
          <w:rFonts w:eastAsia="仿宋_GB2312"/>
          <w:sz w:val="24"/>
          <w:highlight w:val="none"/>
        </w:rPr>
      </w:pPr>
      <w:r>
        <w:rPr>
          <w:rFonts w:eastAsia="仿宋_GB2312"/>
          <w:sz w:val="24"/>
          <w:highlight w:val="none"/>
        </w:rPr>
        <w:t>（四）甲方工作人员及其配偶、子女不得从事与甲方项目有关的材料设备供应、项目分包、劳务等经济活动。</w:t>
      </w:r>
    </w:p>
    <w:p>
      <w:pPr>
        <w:spacing w:line="520" w:lineRule="exact"/>
        <w:ind w:firstLine="480" w:firstLineChars="200"/>
        <w:rPr>
          <w:rFonts w:eastAsia="仿宋_GB2312"/>
          <w:sz w:val="24"/>
          <w:highlight w:val="none"/>
        </w:rPr>
      </w:pPr>
      <w:r>
        <w:rPr>
          <w:rFonts w:eastAsia="仿宋_GB2312"/>
          <w:sz w:val="24"/>
          <w:highlight w:val="none"/>
        </w:rPr>
        <w:t>（五）甲方及其工作人员不得以任何理由违规向乙方推荐分包单位或推销材料；不得要求乙方购买合同规定外的材料和设备。</w:t>
      </w:r>
    </w:p>
    <w:p>
      <w:pPr>
        <w:spacing w:line="520" w:lineRule="exact"/>
        <w:ind w:firstLine="480" w:firstLineChars="200"/>
        <w:rPr>
          <w:rFonts w:eastAsia="仿宋_GB2312"/>
          <w:sz w:val="24"/>
          <w:highlight w:val="none"/>
        </w:rPr>
      </w:pPr>
      <w:r>
        <w:rPr>
          <w:rFonts w:eastAsia="仿宋_GB2312"/>
          <w:sz w:val="24"/>
          <w:highlight w:val="none"/>
        </w:rPr>
        <w:t>（六）甲方工作人员应秉公办事，不准营私舞弊，不准利用职权从事各种个人有偿中介活动和安排劳务队伍。</w:t>
      </w:r>
    </w:p>
    <w:p>
      <w:pPr>
        <w:spacing w:line="520" w:lineRule="exact"/>
        <w:ind w:firstLine="480" w:firstLineChars="200"/>
        <w:rPr>
          <w:rFonts w:eastAsia="仿宋_GB2312"/>
          <w:sz w:val="24"/>
          <w:highlight w:val="none"/>
        </w:rPr>
      </w:pPr>
      <w:r>
        <w:rPr>
          <w:rFonts w:eastAsia="仿宋_GB2312"/>
          <w:sz w:val="24"/>
          <w:highlight w:val="none"/>
        </w:rPr>
        <w:t>（七）严格遵守其他廉政建设相关规定。</w:t>
      </w:r>
    </w:p>
    <w:p>
      <w:pPr>
        <w:spacing w:line="520" w:lineRule="exact"/>
        <w:ind w:firstLine="482" w:firstLineChars="200"/>
        <w:rPr>
          <w:rFonts w:eastAsia="仿宋_GB2312"/>
          <w:b/>
          <w:bCs/>
          <w:sz w:val="24"/>
          <w:highlight w:val="none"/>
        </w:rPr>
      </w:pPr>
      <w:r>
        <w:rPr>
          <w:rFonts w:eastAsia="仿宋_GB2312"/>
          <w:b/>
          <w:bCs/>
          <w:sz w:val="24"/>
          <w:highlight w:val="none"/>
        </w:rPr>
        <w:t>第三条  乙方义务</w:t>
      </w:r>
    </w:p>
    <w:p>
      <w:pPr>
        <w:spacing w:line="520" w:lineRule="exact"/>
        <w:ind w:firstLine="480" w:firstLineChars="200"/>
        <w:rPr>
          <w:rFonts w:eastAsia="仿宋_GB2312"/>
          <w:sz w:val="24"/>
          <w:highlight w:val="none"/>
        </w:rPr>
      </w:pPr>
      <w:r>
        <w:rPr>
          <w:rFonts w:eastAsia="仿宋_GB2312"/>
          <w:sz w:val="24"/>
          <w:highlight w:val="none"/>
        </w:rPr>
        <w:t>（一）乙方不得以任何理由向甲方及其工作人员送回扣、行贿或馈赠礼品、礼金、消费卡和有价证券、股权、其他金融产品等财物。</w:t>
      </w:r>
    </w:p>
    <w:p>
      <w:pPr>
        <w:spacing w:line="520" w:lineRule="exact"/>
        <w:ind w:firstLine="480" w:firstLineChars="200"/>
        <w:rPr>
          <w:rFonts w:eastAsia="仿宋_GB2312"/>
          <w:sz w:val="24"/>
          <w:highlight w:val="none"/>
        </w:rPr>
      </w:pPr>
      <w:r>
        <w:rPr>
          <w:rFonts w:eastAsia="仿宋_GB2312"/>
          <w:sz w:val="24"/>
          <w:highlight w:val="none"/>
        </w:rPr>
        <w:t>（二）乙方不得以任何名义为甲方及其工作人员报销应由甲方单位或个人支付的任何费用。</w:t>
      </w:r>
    </w:p>
    <w:p>
      <w:pPr>
        <w:spacing w:line="520" w:lineRule="exact"/>
        <w:ind w:firstLine="480" w:firstLineChars="200"/>
        <w:rPr>
          <w:rFonts w:eastAsia="仿宋_GB2312"/>
          <w:sz w:val="24"/>
          <w:highlight w:val="none"/>
        </w:rPr>
      </w:pPr>
      <w:r>
        <w:rPr>
          <w:rFonts w:eastAsia="仿宋_GB2312"/>
          <w:sz w:val="24"/>
          <w:highlight w:val="none"/>
        </w:rPr>
        <w:t>（三）乙方不得以任何理由安排甲方工作人员参加可能影响公正执行公务的宴请或者旅游、健身、娱乐等活动。</w:t>
      </w:r>
    </w:p>
    <w:p>
      <w:pPr>
        <w:spacing w:line="520" w:lineRule="exact"/>
        <w:ind w:firstLine="480" w:firstLineChars="200"/>
        <w:rPr>
          <w:rFonts w:eastAsia="仿宋_GB2312"/>
          <w:sz w:val="24"/>
          <w:highlight w:val="none"/>
        </w:rPr>
      </w:pPr>
      <w:r>
        <w:rPr>
          <w:rFonts w:eastAsia="仿宋_GB2312"/>
          <w:sz w:val="24"/>
          <w:highlight w:val="none"/>
        </w:rPr>
        <w:t>（四）乙方不得为甲方工作人员购置或提供通讯工具、交通工具和高档办公用品等。</w:t>
      </w:r>
    </w:p>
    <w:p>
      <w:pPr>
        <w:spacing w:line="520" w:lineRule="exact"/>
        <w:ind w:firstLine="480" w:firstLineChars="200"/>
        <w:rPr>
          <w:rFonts w:eastAsia="仿宋_GB2312"/>
          <w:sz w:val="24"/>
          <w:highlight w:val="none"/>
        </w:rPr>
      </w:pPr>
      <w:r>
        <w:rPr>
          <w:rFonts w:eastAsia="仿宋_GB2312"/>
          <w:sz w:val="24"/>
          <w:highlight w:val="none"/>
        </w:rPr>
        <w:t>（五）乙方及其工作人员不得为甲方及其工作人员住房装修、婚丧嫁娶活动以及出国出境、旅游支付费用或提供方便等。</w:t>
      </w:r>
    </w:p>
    <w:p>
      <w:pPr>
        <w:spacing w:line="520" w:lineRule="exact"/>
        <w:ind w:firstLine="480" w:firstLineChars="200"/>
        <w:rPr>
          <w:rFonts w:eastAsia="仿宋_GB2312"/>
          <w:sz w:val="24"/>
          <w:highlight w:val="none"/>
        </w:rPr>
      </w:pPr>
      <w:r>
        <w:rPr>
          <w:rFonts w:eastAsia="仿宋_GB2312"/>
          <w:sz w:val="24"/>
          <w:highlight w:val="none"/>
        </w:rPr>
        <w:t>（六）在本合同执行的过程中严格遵守其他廉政建设相关规定。</w:t>
      </w:r>
    </w:p>
    <w:p>
      <w:pPr>
        <w:spacing w:line="520" w:lineRule="exact"/>
        <w:ind w:firstLine="482" w:firstLineChars="200"/>
        <w:rPr>
          <w:rFonts w:eastAsia="仿宋_GB2312"/>
          <w:b/>
          <w:bCs/>
          <w:sz w:val="24"/>
          <w:highlight w:val="none"/>
        </w:rPr>
      </w:pPr>
      <w:r>
        <w:rPr>
          <w:rFonts w:eastAsia="仿宋_GB2312"/>
          <w:b/>
          <w:bCs/>
          <w:sz w:val="24"/>
          <w:highlight w:val="none"/>
        </w:rPr>
        <w:t>第四条  违约责任</w:t>
      </w:r>
    </w:p>
    <w:p>
      <w:pPr>
        <w:spacing w:line="520" w:lineRule="exact"/>
        <w:ind w:firstLine="480" w:firstLineChars="200"/>
        <w:rPr>
          <w:rFonts w:eastAsia="仿宋_GB2312"/>
          <w:sz w:val="24"/>
          <w:highlight w:val="none"/>
        </w:rPr>
      </w:pPr>
      <w:r>
        <w:rPr>
          <w:rFonts w:eastAsia="仿宋_GB2312"/>
          <w:sz w:val="24"/>
          <w:highlight w:val="none"/>
        </w:rPr>
        <w:t>（一）甲方及其工作人员违反本廉政协议第二条，按照管理权限，依据有关规定给予纪律处分、公司处分；涉嫌犯罪的，移交司法机关追究刑事责任；给乙方造成经济损失的，应予以赔偿。</w:t>
      </w:r>
    </w:p>
    <w:p>
      <w:pPr>
        <w:spacing w:line="520" w:lineRule="exact"/>
        <w:ind w:firstLine="480" w:firstLineChars="200"/>
        <w:rPr>
          <w:rFonts w:eastAsia="仿宋_GB2312"/>
          <w:sz w:val="24"/>
          <w:highlight w:val="none"/>
        </w:rPr>
      </w:pPr>
      <w:r>
        <w:rPr>
          <w:rFonts w:eastAsia="仿宋_GB2312"/>
          <w:sz w:val="24"/>
          <w:highlight w:val="none"/>
        </w:rPr>
        <w:t>（二）乙方及其工作人员违反本廉政协议第三条，乙方需向甲方支付涉案金额10倍的违约金（不超过合同金额）；甲方可以单方面解除合同，将乙方纳入失信名单；给甲方造成经济损失的，甲方可以要求乙方赔偿经济损失；涉嫌犯罪的，甲方可以移交司法机关追究刑事责任。</w:t>
      </w:r>
    </w:p>
    <w:p>
      <w:pPr>
        <w:spacing w:line="520" w:lineRule="exact"/>
        <w:ind w:firstLine="482" w:firstLineChars="200"/>
        <w:rPr>
          <w:rFonts w:eastAsia="仿宋_GB2312"/>
          <w:sz w:val="24"/>
          <w:highlight w:val="none"/>
        </w:rPr>
      </w:pPr>
      <w:r>
        <w:rPr>
          <w:rFonts w:eastAsia="仿宋_GB2312"/>
          <w:b/>
          <w:bCs/>
          <w:sz w:val="24"/>
          <w:highlight w:val="none"/>
        </w:rPr>
        <w:t>第五条</w:t>
      </w:r>
      <w:r>
        <w:rPr>
          <w:rFonts w:eastAsia="仿宋_GB2312"/>
          <w:sz w:val="24"/>
          <w:highlight w:val="none"/>
        </w:rPr>
        <w:t xml:space="preserve"> 甲乙双方有权将对方违反本廉政协议的有关问题线索移交对方纪检机构处理，或将对方违反本廉政协议的有关情况通报对方上级主管单位。</w:t>
      </w:r>
    </w:p>
    <w:p>
      <w:pPr>
        <w:spacing w:line="520" w:lineRule="exact"/>
        <w:ind w:firstLine="482" w:firstLineChars="200"/>
        <w:rPr>
          <w:rFonts w:eastAsia="仿宋_GB2312"/>
          <w:sz w:val="24"/>
          <w:highlight w:val="none"/>
        </w:rPr>
      </w:pPr>
      <w:r>
        <w:rPr>
          <w:rFonts w:eastAsia="仿宋_GB2312"/>
          <w:b/>
          <w:bCs/>
          <w:sz w:val="24"/>
          <w:highlight w:val="none"/>
        </w:rPr>
        <w:t>第六条</w:t>
      </w:r>
      <w:r>
        <w:rPr>
          <w:rFonts w:eastAsia="仿宋_GB2312"/>
          <w:sz w:val="24"/>
          <w:highlight w:val="none"/>
        </w:rPr>
        <w:t xml:space="preserve"> 本廉政协议签订前，甲方纪检机构应对甲乙双方代表开展廉政谈话。</w:t>
      </w:r>
    </w:p>
    <w:p>
      <w:pPr>
        <w:spacing w:line="520" w:lineRule="exact"/>
        <w:ind w:firstLine="482" w:firstLineChars="200"/>
        <w:rPr>
          <w:rFonts w:eastAsia="仿宋_GB2312"/>
          <w:sz w:val="24"/>
          <w:highlight w:val="none"/>
        </w:rPr>
      </w:pPr>
      <w:r>
        <w:rPr>
          <w:rFonts w:eastAsia="仿宋_GB2312"/>
          <w:b/>
          <w:bCs/>
          <w:sz w:val="24"/>
          <w:highlight w:val="none"/>
        </w:rPr>
        <w:t>第七条</w:t>
      </w:r>
      <w:r>
        <w:rPr>
          <w:rFonts w:eastAsia="仿宋_GB2312"/>
          <w:sz w:val="24"/>
          <w:highlight w:val="none"/>
        </w:rPr>
        <w:t xml:space="preserve">  双方约定：本廉政协议由甲方的纪检机构负责监督执行。</w:t>
      </w:r>
    </w:p>
    <w:p>
      <w:pPr>
        <w:spacing w:line="520" w:lineRule="exact"/>
        <w:ind w:firstLine="482" w:firstLineChars="200"/>
        <w:rPr>
          <w:rFonts w:eastAsia="仿宋_GB2312"/>
          <w:sz w:val="24"/>
          <w:highlight w:val="none"/>
        </w:rPr>
      </w:pPr>
      <w:r>
        <w:rPr>
          <w:rFonts w:eastAsia="仿宋_GB2312"/>
          <w:b/>
          <w:bCs/>
          <w:sz w:val="24"/>
          <w:highlight w:val="none"/>
        </w:rPr>
        <w:t>第八条</w:t>
      </w:r>
      <w:r>
        <w:rPr>
          <w:rFonts w:eastAsia="仿宋_GB2312"/>
          <w:sz w:val="24"/>
          <w:highlight w:val="none"/>
        </w:rPr>
        <w:t xml:space="preserve">  本廉政协议的份数、有效期与主合同一致且具有同等法律效力，经双方签署后生效。</w:t>
      </w:r>
    </w:p>
    <w:p>
      <w:pPr>
        <w:spacing w:line="520" w:lineRule="exact"/>
        <w:rPr>
          <w:rFonts w:eastAsia="仿宋_GB2312"/>
          <w:sz w:val="24"/>
          <w:highlight w:val="none"/>
        </w:rPr>
      </w:pPr>
    </w:p>
    <w:tbl>
      <w:tblPr>
        <w:tblStyle w:val="32"/>
        <w:tblpPr w:leftFromText="180" w:rightFromText="180" w:vertAnchor="text" w:horzAnchor="page" w:tblpXSpec="center" w:tblpY="511"/>
        <w:tblOverlap w:val="never"/>
        <w:tblW w:w="9558" w:type="dxa"/>
        <w:tblInd w:w="0" w:type="dxa"/>
        <w:tblLayout w:type="fixed"/>
        <w:tblCellMar>
          <w:top w:w="0" w:type="dxa"/>
          <w:left w:w="108" w:type="dxa"/>
          <w:bottom w:w="0" w:type="dxa"/>
          <w:right w:w="108" w:type="dxa"/>
        </w:tblCellMar>
      </w:tblPr>
      <w:tblGrid>
        <w:gridCol w:w="4786"/>
        <w:gridCol w:w="4772"/>
      </w:tblGrid>
      <w:tr>
        <w:tblPrEx>
          <w:tblCellMar>
            <w:top w:w="0" w:type="dxa"/>
            <w:left w:w="108" w:type="dxa"/>
            <w:bottom w:w="0" w:type="dxa"/>
            <w:right w:w="108" w:type="dxa"/>
          </w:tblCellMar>
        </w:tblPrEx>
        <w:trPr>
          <w:trHeight w:val="2835" w:hRule="atLeast"/>
        </w:trPr>
        <w:tc>
          <w:tcPr>
            <w:tcW w:w="4786" w:type="dxa"/>
          </w:tcPr>
          <w:p>
            <w:pPr>
              <w:tabs>
                <w:tab w:val="left" w:pos="3885"/>
              </w:tabs>
              <w:spacing w:line="480" w:lineRule="exact"/>
              <w:rPr>
                <w:rFonts w:eastAsia="楷体_GB2312"/>
                <w:snapToGrid w:val="0"/>
                <w:kern w:val="0"/>
                <w:sz w:val="28"/>
                <w:highlight w:val="none"/>
                <w:u w:val="single"/>
              </w:rPr>
            </w:pPr>
            <w:r>
              <w:rPr>
                <w:spacing w:val="8"/>
                <w:sz w:val="28"/>
                <w:highlight w:val="none"/>
              </w:rPr>
              <w:t>甲方：</w:t>
            </w:r>
            <w:r>
              <w:rPr>
                <w:rFonts w:hint="eastAsia" w:eastAsia="仿宋_GB2312"/>
                <w:b/>
                <w:bCs/>
                <w:sz w:val="24"/>
                <w:highlight w:val="none"/>
                <w:u w:val="single"/>
              </w:rPr>
              <w:t>吉林省城市供水有限公司</w:t>
            </w:r>
            <w:r>
              <w:rPr>
                <w:rFonts w:eastAsia="楷体_GB2312"/>
                <w:snapToGrid w:val="0"/>
                <w:kern w:val="0"/>
                <w:sz w:val="28"/>
                <w:highlight w:val="none"/>
                <w:u w:val="single"/>
              </w:rPr>
              <w:t xml:space="preserve"> </w:t>
            </w:r>
          </w:p>
          <w:p>
            <w:pPr>
              <w:tabs>
                <w:tab w:val="left" w:pos="3885"/>
              </w:tabs>
              <w:spacing w:line="480" w:lineRule="exact"/>
              <w:ind w:firstLine="2373" w:firstLineChars="1050"/>
              <w:rPr>
                <w:spacing w:val="8"/>
                <w:highlight w:val="none"/>
              </w:rPr>
            </w:pPr>
          </w:p>
          <w:p>
            <w:pPr>
              <w:tabs>
                <w:tab w:val="left" w:pos="3885"/>
              </w:tabs>
              <w:spacing w:line="480" w:lineRule="exact"/>
              <w:ind w:firstLine="2373" w:firstLineChars="1050"/>
              <w:rPr>
                <w:spacing w:val="8"/>
                <w:highlight w:val="none"/>
              </w:rPr>
            </w:pPr>
          </w:p>
          <w:p>
            <w:pPr>
              <w:tabs>
                <w:tab w:val="left" w:pos="3885"/>
              </w:tabs>
              <w:spacing w:line="480" w:lineRule="exact"/>
              <w:ind w:firstLine="2373" w:firstLineChars="1050"/>
              <w:rPr>
                <w:spacing w:val="8"/>
                <w:highlight w:val="none"/>
              </w:rPr>
            </w:pPr>
          </w:p>
          <w:p>
            <w:pPr>
              <w:tabs>
                <w:tab w:val="left" w:pos="3885"/>
              </w:tabs>
              <w:spacing w:line="480" w:lineRule="exact"/>
              <w:ind w:firstLine="2373" w:firstLineChars="1050"/>
              <w:rPr>
                <w:spacing w:val="8"/>
                <w:highlight w:val="none"/>
              </w:rPr>
            </w:pPr>
            <w:r>
              <w:rPr>
                <w:spacing w:val="8"/>
                <w:highlight w:val="none"/>
              </w:rPr>
              <w:t>（盖章）</w:t>
            </w:r>
          </w:p>
          <w:p>
            <w:pPr>
              <w:tabs>
                <w:tab w:val="left" w:pos="3885"/>
              </w:tabs>
              <w:spacing w:line="480" w:lineRule="exact"/>
              <w:rPr>
                <w:spacing w:val="8"/>
                <w:sz w:val="28"/>
                <w:highlight w:val="none"/>
              </w:rPr>
            </w:pPr>
          </w:p>
        </w:tc>
        <w:tc>
          <w:tcPr>
            <w:tcW w:w="4772" w:type="dxa"/>
          </w:tcPr>
          <w:p>
            <w:pPr>
              <w:tabs>
                <w:tab w:val="left" w:pos="3885"/>
              </w:tabs>
              <w:spacing w:line="480" w:lineRule="exact"/>
              <w:rPr>
                <w:spacing w:val="8"/>
                <w:sz w:val="28"/>
                <w:highlight w:val="none"/>
              </w:rPr>
            </w:pPr>
            <w:r>
              <w:rPr>
                <w:spacing w:val="8"/>
                <w:sz w:val="28"/>
                <w:highlight w:val="none"/>
              </w:rPr>
              <w:t>乙方：</w:t>
            </w:r>
          </w:p>
          <w:p>
            <w:pPr>
              <w:tabs>
                <w:tab w:val="left" w:pos="3885"/>
              </w:tabs>
              <w:spacing w:line="480" w:lineRule="exact"/>
              <w:rPr>
                <w:spacing w:val="8"/>
                <w:sz w:val="28"/>
                <w:highlight w:val="none"/>
              </w:rPr>
            </w:pPr>
          </w:p>
          <w:p>
            <w:pPr>
              <w:tabs>
                <w:tab w:val="left" w:pos="3885"/>
              </w:tabs>
              <w:spacing w:line="480" w:lineRule="exact"/>
              <w:ind w:firstLine="1921" w:firstLineChars="850"/>
              <w:rPr>
                <w:rFonts w:eastAsia="等线"/>
                <w:spacing w:val="8"/>
                <w:highlight w:val="none"/>
              </w:rPr>
            </w:pPr>
          </w:p>
          <w:p>
            <w:pPr>
              <w:tabs>
                <w:tab w:val="left" w:pos="3885"/>
              </w:tabs>
              <w:spacing w:line="480" w:lineRule="exact"/>
              <w:ind w:firstLine="1921" w:firstLineChars="850"/>
              <w:rPr>
                <w:spacing w:val="8"/>
                <w:highlight w:val="none"/>
              </w:rPr>
            </w:pPr>
            <w:r>
              <w:rPr>
                <w:spacing w:val="8"/>
                <w:highlight w:val="none"/>
              </w:rPr>
              <w:t>（盖章）</w:t>
            </w:r>
          </w:p>
          <w:p>
            <w:pPr>
              <w:tabs>
                <w:tab w:val="left" w:pos="3885"/>
              </w:tabs>
              <w:spacing w:line="480" w:lineRule="exact"/>
              <w:rPr>
                <w:spacing w:val="8"/>
                <w:sz w:val="28"/>
                <w:highlight w:val="none"/>
              </w:rPr>
            </w:pPr>
          </w:p>
        </w:tc>
      </w:tr>
      <w:tr>
        <w:tblPrEx>
          <w:tblCellMar>
            <w:top w:w="0" w:type="dxa"/>
            <w:left w:w="108" w:type="dxa"/>
            <w:bottom w:w="0" w:type="dxa"/>
            <w:right w:w="108" w:type="dxa"/>
          </w:tblCellMar>
        </w:tblPrEx>
        <w:tc>
          <w:tcPr>
            <w:tcW w:w="4786" w:type="dxa"/>
          </w:tcPr>
          <w:p>
            <w:pPr>
              <w:tabs>
                <w:tab w:val="left" w:pos="3885"/>
              </w:tabs>
              <w:spacing w:line="480" w:lineRule="exact"/>
              <w:rPr>
                <w:sz w:val="28"/>
                <w:highlight w:val="none"/>
              </w:rPr>
            </w:pPr>
            <w:r>
              <w:rPr>
                <w:sz w:val="28"/>
                <w:highlight w:val="none"/>
              </w:rPr>
              <w:t>法定代表人/委托代理人：</w:t>
            </w:r>
          </w:p>
          <w:p>
            <w:pPr>
              <w:tabs>
                <w:tab w:val="left" w:pos="3885"/>
              </w:tabs>
              <w:spacing w:line="480" w:lineRule="exact"/>
              <w:rPr>
                <w:sz w:val="28"/>
                <w:highlight w:val="none"/>
              </w:rPr>
            </w:pPr>
          </w:p>
          <w:p>
            <w:pPr>
              <w:tabs>
                <w:tab w:val="left" w:pos="3885"/>
              </w:tabs>
              <w:spacing w:line="480" w:lineRule="exact"/>
              <w:ind w:firstLine="1260" w:firstLineChars="450"/>
              <w:rPr>
                <w:sz w:val="28"/>
                <w:highlight w:val="none"/>
              </w:rPr>
            </w:pPr>
            <w:r>
              <w:rPr>
                <w:sz w:val="28"/>
                <w:highlight w:val="none"/>
              </w:rPr>
              <w:t>_____________（签名）</w:t>
            </w:r>
          </w:p>
          <w:p>
            <w:pPr>
              <w:tabs>
                <w:tab w:val="left" w:pos="3885"/>
              </w:tabs>
              <w:spacing w:line="480" w:lineRule="exact"/>
              <w:ind w:firstLine="1260" w:firstLineChars="450"/>
              <w:rPr>
                <w:sz w:val="28"/>
                <w:highlight w:val="none"/>
              </w:rPr>
            </w:pPr>
            <w:r>
              <w:rPr>
                <w:sz w:val="28"/>
                <w:highlight w:val="none"/>
              </w:rPr>
              <w:t xml:space="preserve">   年   月   日</w:t>
            </w:r>
          </w:p>
        </w:tc>
        <w:tc>
          <w:tcPr>
            <w:tcW w:w="4772" w:type="dxa"/>
          </w:tcPr>
          <w:p>
            <w:pPr>
              <w:tabs>
                <w:tab w:val="left" w:pos="3885"/>
              </w:tabs>
              <w:spacing w:line="480" w:lineRule="exact"/>
              <w:rPr>
                <w:sz w:val="28"/>
                <w:highlight w:val="none"/>
              </w:rPr>
            </w:pPr>
            <w:r>
              <w:rPr>
                <w:sz w:val="28"/>
                <w:highlight w:val="none"/>
              </w:rPr>
              <w:t>法定代表人/委托代理人：</w:t>
            </w:r>
          </w:p>
          <w:p>
            <w:pPr>
              <w:tabs>
                <w:tab w:val="left" w:pos="3885"/>
              </w:tabs>
              <w:spacing w:line="480" w:lineRule="exact"/>
              <w:rPr>
                <w:sz w:val="28"/>
                <w:highlight w:val="none"/>
              </w:rPr>
            </w:pPr>
          </w:p>
          <w:p>
            <w:pPr>
              <w:tabs>
                <w:tab w:val="left" w:pos="3885"/>
              </w:tabs>
              <w:spacing w:line="480" w:lineRule="exact"/>
              <w:ind w:firstLine="1540" w:firstLineChars="550"/>
              <w:rPr>
                <w:sz w:val="28"/>
                <w:highlight w:val="none"/>
              </w:rPr>
            </w:pPr>
            <w:r>
              <w:rPr>
                <w:sz w:val="28"/>
                <w:highlight w:val="none"/>
              </w:rPr>
              <w:t>_____________（签名）</w:t>
            </w:r>
          </w:p>
          <w:p>
            <w:pPr>
              <w:tabs>
                <w:tab w:val="left" w:pos="3885"/>
              </w:tabs>
              <w:spacing w:line="480" w:lineRule="exact"/>
              <w:ind w:firstLine="1540" w:firstLineChars="550"/>
              <w:rPr>
                <w:sz w:val="28"/>
                <w:highlight w:val="none"/>
              </w:rPr>
            </w:pPr>
            <w:r>
              <w:rPr>
                <w:sz w:val="28"/>
                <w:highlight w:val="none"/>
              </w:rPr>
              <w:t xml:space="preserve">   年   月   日</w:t>
            </w:r>
          </w:p>
          <w:p>
            <w:pPr>
              <w:tabs>
                <w:tab w:val="left" w:pos="3885"/>
              </w:tabs>
              <w:spacing w:line="480" w:lineRule="exact"/>
              <w:ind w:firstLine="740" w:firstLineChars="250"/>
              <w:rPr>
                <w:spacing w:val="8"/>
                <w:sz w:val="28"/>
                <w:highlight w:val="none"/>
              </w:rPr>
            </w:pPr>
          </w:p>
        </w:tc>
      </w:tr>
    </w:tbl>
    <w:p>
      <w:pPr>
        <w:widowControl/>
        <w:spacing w:line="440" w:lineRule="exact"/>
        <w:ind w:firstLine="420" w:firstLineChars="200"/>
        <w:rPr>
          <w:rFonts w:ascii="宋体" w:hAnsi="宋体" w:cs="宋体"/>
          <w:szCs w:val="21"/>
          <w:highlight w:val="none"/>
        </w:rPr>
      </w:pPr>
    </w:p>
    <w:p>
      <w:pPr>
        <w:widowControl/>
        <w:spacing w:line="440" w:lineRule="exact"/>
        <w:ind w:firstLine="420" w:firstLineChars="200"/>
        <w:jc w:val="right"/>
        <w:rPr>
          <w:rFonts w:ascii="宋体" w:hAnsi="宋体" w:cs="宋体"/>
          <w:szCs w:val="21"/>
          <w:highlight w:val="none"/>
        </w:rPr>
      </w:pPr>
    </w:p>
    <w:p>
      <w:pPr>
        <w:spacing w:line="360" w:lineRule="auto"/>
        <w:jc w:val="center"/>
        <w:rPr>
          <w:rFonts w:ascii="宋体" w:hAnsi="宋体" w:cs="宋体"/>
          <w:b/>
          <w:sz w:val="24"/>
          <w:highlight w:val="none"/>
        </w:rPr>
        <w:sectPr>
          <w:headerReference r:id="rId11" w:type="default"/>
          <w:footerReference r:id="rId12" w:type="default"/>
          <w:footerReference r:id="rId13" w:type="even"/>
          <w:pgSz w:w="11907" w:h="16840"/>
          <w:pgMar w:top="1440" w:right="1080" w:bottom="1440" w:left="1080" w:header="851" w:footer="992" w:gutter="0"/>
          <w:cols w:space="720" w:num="1"/>
          <w:docGrid w:linePitch="312" w:charSpace="0"/>
        </w:sectPr>
      </w:pPr>
    </w:p>
    <w:bookmarkEnd w:id="74"/>
    <w:p>
      <w:pPr>
        <w:pStyle w:val="2"/>
        <w:spacing w:line="240" w:lineRule="auto"/>
        <w:jc w:val="center"/>
        <w:rPr>
          <w:rFonts w:ascii="宋体" w:hAnsi="宋体" w:cs="宋体"/>
          <w:sz w:val="36"/>
          <w:szCs w:val="32"/>
          <w:highlight w:val="none"/>
        </w:rPr>
      </w:pPr>
      <w:bookmarkStart w:id="155" w:name="_Toc165389748"/>
      <w:r>
        <w:rPr>
          <w:rFonts w:hint="eastAsia" w:ascii="宋体" w:hAnsi="宋体" w:cs="宋体"/>
          <w:sz w:val="36"/>
          <w:szCs w:val="32"/>
          <w:highlight w:val="none"/>
        </w:rPr>
        <w:t>第六章 技术标准和要求</w:t>
      </w:r>
      <w:bookmarkEnd w:id="155"/>
    </w:p>
    <w:p>
      <w:pPr>
        <w:widowControl/>
        <w:spacing w:line="440" w:lineRule="exact"/>
        <w:ind w:firstLine="420" w:firstLineChars="200"/>
        <w:rPr>
          <w:rFonts w:ascii="宋体" w:hAnsi="宋体" w:cs="宋体"/>
          <w:szCs w:val="21"/>
          <w:highlight w:val="none"/>
        </w:rPr>
      </w:pPr>
      <w:bookmarkStart w:id="156" w:name="_Toc311205821"/>
      <w:bookmarkStart w:id="157" w:name="_Toc310088872"/>
      <w:bookmarkStart w:id="158" w:name="_Toc11496"/>
      <w:r>
        <w:rPr>
          <w:rFonts w:hint="eastAsia" w:ascii="宋体" w:hAnsi="宋体" w:cs="宋体"/>
          <w:szCs w:val="21"/>
          <w:highlight w:val="none"/>
        </w:rPr>
        <w:t>一</w:t>
      </w:r>
      <w:r>
        <w:rPr>
          <w:rFonts w:ascii="宋体" w:hAnsi="宋体" w:cs="宋体"/>
          <w:szCs w:val="21"/>
          <w:highlight w:val="none"/>
        </w:rPr>
        <w:t>.</w:t>
      </w:r>
      <w:r>
        <w:rPr>
          <w:rFonts w:hint="eastAsia" w:ascii="宋体" w:hAnsi="宋体" w:cs="宋体"/>
          <w:szCs w:val="21"/>
          <w:highlight w:val="none"/>
        </w:rPr>
        <w:t>项目名称</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吉林省中部城市引松供水工程标准化管理咨询</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二</w:t>
      </w:r>
      <w:r>
        <w:rPr>
          <w:rFonts w:ascii="宋体" w:hAnsi="宋体" w:cs="宋体"/>
          <w:szCs w:val="21"/>
          <w:highlight w:val="none"/>
        </w:rPr>
        <w:t>.</w:t>
      </w:r>
      <w:r>
        <w:rPr>
          <w:rFonts w:hint="eastAsia" w:ascii="宋体" w:hAnsi="宋体" w:cs="宋体"/>
          <w:szCs w:val="21"/>
          <w:highlight w:val="none"/>
        </w:rPr>
        <w:t>主要工作内容</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工作范围为中部引水工程以及其所包含大中型泵站、管涵（隧洞）等单项工程。内容如下：</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（一）编制《吉林省中部城市引松供水工程运行管理能力提升规划》。</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（二）协调开展调水工程标准化创建调研交流</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组织吉林省城市供水有限公司（简称城市供水公司）赴已通过评价的调水工程进行实地调研，了解其标准化创建的具体做法和经验；邀请调水工程标准化管理创建领域经验丰富的专家查勘工程现场，对照相应标准查找运行管理存在问题，并提出整改建议，组织就工程标准化创建工作开展宣贯及交流。</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（三）组织开展管理咨询</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1.组织专家对管理手册内容（包括规章、操作流程合理性）、结构等进行审核，对手册编制中的关键问题和技术难点进行讨论并开展咨询。</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2.组织专家对工程安全生产风险管控“六项机制”落实情况开展咨询。</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（四）组织开展工程标准化管理自评</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收集整编中部引水工程及各单项工程运行管理资料；组织专家团队查勘工程现场，依据水利部水利工程标准化管理评价相关标准，开展工程标准化管理自评，进一步查找运行管理问题并提出整改建议；依据自评结果，编制完成《中部引水工程吉林省中部城市引松供水工程运行管理能力提升规划标准化管理自评报告》及相关单项工程标准化管理自评报告。</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（五）配合开展工程标准化管理申报</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协助吉林省城市供水有限公司整理备查材料清单，以及准备汇报材料。组织专家对各类问题的整改进度及成效等进行现场咨询，配合做好初评及水利部评价准备。</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三</w:t>
      </w:r>
      <w:r>
        <w:rPr>
          <w:rFonts w:ascii="宋体" w:hAnsi="宋体" w:cs="宋体"/>
          <w:szCs w:val="21"/>
          <w:highlight w:val="none"/>
        </w:rPr>
        <w:t>.</w:t>
      </w:r>
      <w:r>
        <w:rPr>
          <w:rFonts w:hint="eastAsia" w:ascii="宋体" w:hAnsi="宋体" w:cs="宋体"/>
          <w:szCs w:val="21"/>
          <w:highlight w:val="none"/>
        </w:rPr>
        <w:t>进度计划要求</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1.2024年6月30日前，完成《吉林省中部城市引松供水工程运行管理能力提升规划》并通过吉林省城市供水有限公司组织的审定。</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2.2024年6-7月，组织专家开展调研查勘，依据《吉林省中部城市引松供水工程运行管理能力提升规划》细化存在问题并提出具体整改意见。</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3.2024年8月，组织赴相关调水工程开展标准化管理创建调研；组织开展管理手册、“六项机制”落实情况咨询。</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4.2024年9-10月，组织开展自评，完成自评报告；配合整编备评资料清单。</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5.2024年11-12月，组织专家对问题的整改进度及成效等进行现场咨询，配合吉林省城市供水有限公司做好省级初评准备。</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6.2025年1-6月，配合吉林省城市供水有限公司做好水利部评价准备。</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四</w:t>
      </w:r>
      <w:r>
        <w:rPr>
          <w:rFonts w:ascii="宋体" w:hAnsi="宋体" w:cs="宋体"/>
          <w:szCs w:val="21"/>
          <w:highlight w:val="none"/>
        </w:rPr>
        <w:t>.</w:t>
      </w:r>
      <w:r>
        <w:rPr>
          <w:rFonts w:hint="eastAsia" w:ascii="宋体" w:hAnsi="宋体" w:cs="宋体"/>
          <w:szCs w:val="21"/>
          <w:highlight w:val="none"/>
        </w:rPr>
        <w:t>成果要求</w:t>
      </w:r>
    </w:p>
    <w:p>
      <w:pPr>
        <w:widowControl/>
        <w:spacing w:line="4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1.《吉林省中部城市引松供水工程运行管理能力提升规划》</w:t>
      </w:r>
      <w:r>
        <w:rPr>
          <w:rFonts w:hint="eastAsia" w:ascii="宋体" w:hAnsi="宋体" w:cs="宋体"/>
          <w:szCs w:val="21"/>
          <w:highlight w:val="none"/>
          <w:lang w:eastAsia="zh-CN"/>
        </w:rPr>
        <w:t>；</w:t>
      </w:r>
    </w:p>
    <w:p>
      <w:pPr>
        <w:widowControl/>
        <w:spacing w:line="4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2.《中部引水一期引调水工程标准化管理自评报告》及相关单项工程标准化管理自评报告</w:t>
      </w:r>
      <w:r>
        <w:rPr>
          <w:rFonts w:hint="eastAsia" w:ascii="宋体" w:hAnsi="宋体" w:cs="宋体"/>
          <w:szCs w:val="21"/>
          <w:highlight w:val="none"/>
          <w:lang w:eastAsia="zh-CN"/>
        </w:rPr>
        <w:t>。</w:t>
      </w:r>
    </w:p>
    <w:bookmarkEnd w:id="156"/>
    <w:bookmarkEnd w:id="157"/>
    <w:p>
      <w:pPr>
        <w:outlineLvl w:val="1"/>
        <w:rPr>
          <w:rFonts w:ascii="宋体" w:hAnsi="宋体" w:cs="宋体"/>
          <w:sz w:val="36"/>
          <w:szCs w:val="32"/>
          <w:highlight w:val="none"/>
        </w:rPr>
      </w:pPr>
      <w:r>
        <w:rPr>
          <w:rFonts w:hint="eastAsia" w:ascii="宋体" w:hAnsi="宋体" w:cs="宋体"/>
          <w:sz w:val="28"/>
          <w:szCs w:val="28"/>
          <w:highlight w:val="none"/>
        </w:rPr>
        <w:br w:type="page"/>
      </w:r>
      <w:bookmarkEnd w:id="158"/>
    </w:p>
    <w:p>
      <w:pPr>
        <w:pStyle w:val="2"/>
        <w:spacing w:line="240" w:lineRule="auto"/>
        <w:jc w:val="center"/>
        <w:rPr>
          <w:rFonts w:ascii="宋体" w:hAnsi="宋体" w:cs="宋体"/>
          <w:sz w:val="36"/>
          <w:szCs w:val="32"/>
          <w:highlight w:val="none"/>
        </w:rPr>
      </w:pPr>
    </w:p>
    <w:p>
      <w:pPr>
        <w:pStyle w:val="2"/>
        <w:spacing w:line="240" w:lineRule="auto"/>
        <w:jc w:val="center"/>
        <w:rPr>
          <w:rFonts w:ascii="宋体" w:hAnsi="宋体" w:cs="宋体"/>
          <w:sz w:val="36"/>
          <w:szCs w:val="32"/>
          <w:highlight w:val="none"/>
        </w:rPr>
      </w:pPr>
    </w:p>
    <w:p>
      <w:pPr>
        <w:pStyle w:val="2"/>
        <w:spacing w:line="240" w:lineRule="auto"/>
        <w:jc w:val="center"/>
        <w:rPr>
          <w:rFonts w:ascii="宋体" w:hAnsi="宋体" w:cs="宋体"/>
          <w:sz w:val="36"/>
          <w:szCs w:val="32"/>
          <w:highlight w:val="none"/>
        </w:rPr>
      </w:pPr>
    </w:p>
    <w:p>
      <w:pPr>
        <w:pStyle w:val="2"/>
        <w:spacing w:line="240" w:lineRule="auto"/>
        <w:jc w:val="center"/>
        <w:rPr>
          <w:rFonts w:ascii="宋体" w:hAnsi="宋体" w:cs="宋体"/>
          <w:sz w:val="36"/>
          <w:szCs w:val="32"/>
          <w:highlight w:val="none"/>
        </w:rPr>
      </w:pPr>
    </w:p>
    <w:p>
      <w:pPr>
        <w:pStyle w:val="2"/>
        <w:spacing w:line="240" w:lineRule="auto"/>
        <w:jc w:val="center"/>
        <w:rPr>
          <w:rFonts w:ascii="宋体" w:hAnsi="宋体" w:cs="宋体"/>
          <w:sz w:val="36"/>
          <w:szCs w:val="32"/>
          <w:highlight w:val="none"/>
        </w:rPr>
      </w:pPr>
    </w:p>
    <w:p>
      <w:pPr>
        <w:pStyle w:val="2"/>
        <w:spacing w:line="240" w:lineRule="auto"/>
        <w:jc w:val="center"/>
        <w:rPr>
          <w:rFonts w:ascii="宋体" w:hAnsi="宋体" w:cs="宋体"/>
          <w:sz w:val="36"/>
          <w:szCs w:val="32"/>
          <w:highlight w:val="none"/>
        </w:rPr>
      </w:pPr>
    </w:p>
    <w:p>
      <w:pPr>
        <w:pStyle w:val="2"/>
        <w:spacing w:line="240" w:lineRule="auto"/>
        <w:jc w:val="center"/>
        <w:rPr>
          <w:rFonts w:ascii="宋体" w:hAnsi="宋体" w:cs="宋体"/>
          <w:sz w:val="36"/>
          <w:szCs w:val="32"/>
          <w:highlight w:val="none"/>
        </w:rPr>
      </w:pPr>
      <w:bookmarkStart w:id="159" w:name="_Toc165389749"/>
      <w:r>
        <w:rPr>
          <w:rFonts w:hint="eastAsia" w:ascii="宋体" w:hAnsi="宋体" w:cs="宋体"/>
          <w:sz w:val="36"/>
          <w:szCs w:val="32"/>
          <w:highlight w:val="none"/>
        </w:rPr>
        <w:t>第七章 参选文件格式</w:t>
      </w:r>
      <w:bookmarkEnd w:id="159"/>
    </w:p>
    <w:p>
      <w:pPr>
        <w:rPr>
          <w:rFonts w:ascii="宋体" w:hAnsi="宋体" w:cs="宋体"/>
          <w:szCs w:val="21"/>
          <w:highlight w:val="none"/>
        </w:rPr>
      </w:pPr>
    </w:p>
    <w:p>
      <w:pPr>
        <w:widowControl/>
        <w:jc w:val="left"/>
        <w:rPr>
          <w:rFonts w:ascii="宋体" w:hAnsi="宋体" w:cs="宋体"/>
          <w:szCs w:val="21"/>
          <w:highlight w:val="none"/>
        </w:rPr>
        <w:sectPr>
          <w:headerReference r:id="rId14" w:type="even"/>
          <w:pgSz w:w="11906" w:h="16838"/>
          <w:pgMar w:top="1440" w:right="1080" w:bottom="1440" w:left="1080" w:header="851" w:footer="992" w:gutter="0"/>
          <w:cols w:space="720" w:num="1"/>
          <w:docGrid w:type="linesAndChars" w:linePitch="312" w:charSpace="0"/>
        </w:sect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640" w:firstLineChars="200"/>
        <w:rPr>
          <w:rFonts w:ascii="宋体" w:hAnsi="宋体" w:cs="宋体"/>
          <w:b/>
          <w:sz w:val="32"/>
          <w:szCs w:val="32"/>
          <w:highlight w:val="none"/>
        </w:rPr>
      </w:pP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（项目名称）</w:t>
      </w:r>
    </w:p>
    <w:p>
      <w:pPr>
        <w:ind w:firstLine="640" w:firstLineChars="200"/>
        <w:rPr>
          <w:rFonts w:ascii="宋体" w:hAnsi="宋体" w:cs="宋体"/>
          <w:b/>
          <w:sz w:val="32"/>
          <w:szCs w:val="32"/>
          <w:highlight w:val="none"/>
        </w:rPr>
      </w:pPr>
    </w:p>
    <w:p>
      <w:pPr>
        <w:ind w:firstLine="640" w:firstLineChars="200"/>
        <w:rPr>
          <w:rFonts w:ascii="宋体" w:hAnsi="宋体" w:cs="宋体"/>
          <w:b/>
          <w:sz w:val="32"/>
          <w:szCs w:val="32"/>
          <w:highlight w:val="none"/>
        </w:rPr>
      </w:pPr>
    </w:p>
    <w:p>
      <w:pPr>
        <w:ind w:firstLine="640" w:firstLineChars="200"/>
        <w:rPr>
          <w:rFonts w:ascii="宋体" w:hAnsi="宋体" w:cs="宋体"/>
          <w:b/>
          <w:sz w:val="32"/>
          <w:szCs w:val="32"/>
          <w:highlight w:val="none"/>
        </w:rPr>
      </w:pPr>
    </w:p>
    <w:p>
      <w:pPr>
        <w:ind w:firstLine="640" w:firstLineChars="200"/>
        <w:rPr>
          <w:rFonts w:ascii="宋体" w:hAnsi="宋体" w:cs="宋体"/>
          <w:b/>
          <w:sz w:val="32"/>
          <w:szCs w:val="32"/>
          <w:highlight w:val="none"/>
        </w:rPr>
      </w:pPr>
    </w:p>
    <w:p>
      <w:pPr>
        <w:ind w:firstLine="640" w:firstLineChars="200"/>
        <w:rPr>
          <w:rFonts w:ascii="宋体" w:hAnsi="宋体" w:cs="宋体"/>
          <w:b/>
          <w:sz w:val="32"/>
          <w:szCs w:val="32"/>
          <w:highlight w:val="none"/>
        </w:rPr>
      </w:pPr>
    </w:p>
    <w:p>
      <w:pPr>
        <w:ind w:firstLine="640" w:firstLineChars="200"/>
        <w:rPr>
          <w:rFonts w:ascii="宋体" w:hAnsi="宋体" w:cs="宋体"/>
          <w:b/>
          <w:sz w:val="32"/>
          <w:szCs w:val="32"/>
          <w:highlight w:val="none"/>
        </w:rPr>
      </w:pPr>
    </w:p>
    <w:p>
      <w:pPr>
        <w:ind w:firstLine="420" w:firstLineChars="200"/>
        <w:rPr>
          <w:rFonts w:ascii="宋体" w:hAnsi="宋体" w:cs="宋体"/>
          <w:szCs w:val="21"/>
          <w:highlight w:val="none"/>
        </w:rPr>
      </w:pPr>
    </w:p>
    <w:p>
      <w:pPr>
        <w:ind w:firstLine="2880" w:firstLineChars="400"/>
        <w:rPr>
          <w:rFonts w:ascii="宋体" w:hAnsi="宋体" w:cs="宋体"/>
          <w:sz w:val="72"/>
          <w:szCs w:val="72"/>
          <w:highlight w:val="none"/>
        </w:rPr>
      </w:pPr>
      <w:r>
        <w:rPr>
          <w:rFonts w:hint="eastAsia" w:ascii="宋体" w:hAnsi="宋体" w:cs="宋体"/>
          <w:sz w:val="72"/>
          <w:szCs w:val="72"/>
          <w:highlight w:val="none"/>
        </w:rPr>
        <w:t>参 选 文 件</w:t>
      </w: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jc w:val="center"/>
        <w:rPr>
          <w:rFonts w:ascii="宋体" w:hAnsi="宋体" w:cs="宋体"/>
          <w:szCs w:val="21"/>
          <w:highlight w:val="none"/>
        </w:rPr>
      </w:pPr>
      <w:r>
        <w:rPr>
          <w:rFonts w:hint="eastAsia" w:ascii="宋体" w:hAnsi="宋体" w:cs="宋体"/>
          <w:szCs w:val="21"/>
          <w:highlight w:val="none"/>
        </w:rPr>
        <w:t>项目编号：</w:t>
      </w: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ind w:firstLine="420" w:firstLineChars="200"/>
        <w:rPr>
          <w:rFonts w:ascii="宋体" w:hAnsi="宋体" w:cs="宋体"/>
          <w:szCs w:val="21"/>
          <w:highlight w:val="none"/>
        </w:rPr>
      </w:pPr>
    </w:p>
    <w:p>
      <w:pPr>
        <w:jc w:val="center"/>
        <w:rPr>
          <w:rFonts w:ascii="宋体" w:hAnsi="宋体" w:cs="宋体"/>
          <w:sz w:val="28"/>
          <w:szCs w:val="28"/>
          <w:highlight w:val="none"/>
        </w:rPr>
      </w:pPr>
      <w:r>
        <w:rPr>
          <w:rFonts w:hint="eastAsia" w:ascii="宋体" w:hAnsi="宋体" w:cs="宋体"/>
          <w:sz w:val="28"/>
          <w:szCs w:val="28"/>
          <w:highlight w:val="none"/>
        </w:rPr>
        <w:t xml:space="preserve">     参选单位：</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pPr>
        <w:ind w:firstLine="560" w:firstLineChars="200"/>
        <w:rPr>
          <w:rFonts w:ascii="宋体" w:hAnsi="宋体" w:cs="宋体"/>
          <w:sz w:val="28"/>
          <w:szCs w:val="28"/>
          <w:highlight w:val="none"/>
        </w:rPr>
      </w:pPr>
    </w:p>
    <w:p>
      <w:pPr>
        <w:ind w:firstLine="1960" w:firstLineChars="70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p>
    <w:p>
      <w:pPr>
        <w:jc w:val="center"/>
        <w:rPr>
          <w:rFonts w:ascii="宋体" w:hAnsi="宋体" w:cs="宋体"/>
          <w:szCs w:val="21"/>
          <w:highlight w:val="none"/>
          <w:u w:val="single"/>
        </w:rPr>
      </w:pPr>
    </w:p>
    <w:p>
      <w:pPr>
        <w:jc w:val="center"/>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widowControl/>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b/>
          <w:bCs/>
          <w:sz w:val="36"/>
          <w:szCs w:val="28"/>
          <w:highlight w:val="none"/>
        </w:rPr>
      </w:pPr>
      <w:bookmarkStart w:id="160" w:name="_Toc460361832"/>
      <w:bookmarkStart w:id="161" w:name="_Toc460361774"/>
      <w:r>
        <w:rPr>
          <w:rFonts w:hint="eastAsia" w:ascii="宋体" w:hAnsi="宋体" w:cs="宋体"/>
          <w:b/>
          <w:bCs/>
          <w:sz w:val="36"/>
          <w:szCs w:val="28"/>
          <w:highlight w:val="none"/>
        </w:rPr>
        <w:t>目  录</w:t>
      </w:r>
      <w:bookmarkEnd w:id="160"/>
      <w:bookmarkEnd w:id="161"/>
    </w:p>
    <w:p>
      <w:pPr>
        <w:rPr>
          <w:rFonts w:ascii="宋体" w:hAnsi="宋体" w:cs="宋体"/>
          <w:highlight w:val="none"/>
        </w:rPr>
      </w:pPr>
    </w:p>
    <w:p>
      <w:pPr>
        <w:spacing w:line="480" w:lineRule="auto"/>
        <w:ind w:firstLine="480" w:firstLineChars="200"/>
        <w:rPr>
          <w:rFonts w:ascii="宋体" w:hAnsi="宋体" w:cs="宋体"/>
          <w:sz w:val="24"/>
          <w:highlight w:val="none"/>
        </w:rPr>
      </w:pPr>
      <w:r>
        <w:rPr>
          <w:rFonts w:hint="eastAsia" w:ascii="宋体" w:hAnsi="宋体" w:cs="宋体"/>
          <w:sz w:val="24"/>
          <w:highlight w:val="none"/>
        </w:rPr>
        <w:t>一、报价函</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二、法定代表人身份证明（适用于无委托代理人的情况）</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二、授权委托书（适用于有委托代理人的情况）</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三、比选保证金</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四、已填写的报价清单</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五、实施方案</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六、项目管理机构表</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七、资格审查资料</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八、近年完成或正在开展的类似项目情况表</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九、原件的扫描件</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十、其他材料（如有）</w:t>
      </w:r>
    </w:p>
    <w:p>
      <w:pPr>
        <w:spacing w:line="480" w:lineRule="auto"/>
        <w:ind w:firstLine="480" w:firstLineChars="200"/>
        <w:rPr>
          <w:rFonts w:ascii="宋体" w:hAnsi="宋体" w:cs="宋体"/>
          <w:sz w:val="24"/>
          <w:highlight w:val="none"/>
        </w:rPr>
      </w:pPr>
    </w:p>
    <w:p>
      <w:pPr>
        <w:ind w:firstLine="420" w:firstLineChars="200"/>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sz w:val="24"/>
          <w:highlight w:val="none"/>
        </w:rPr>
      </w:pPr>
      <w:bookmarkStart w:id="162" w:name="_Toc460361776"/>
      <w:bookmarkStart w:id="163" w:name="_Toc460361834"/>
      <w:r>
        <w:rPr>
          <w:rFonts w:hint="eastAsia" w:ascii="宋体" w:hAnsi="宋体" w:cs="宋体"/>
          <w:sz w:val="28"/>
          <w:szCs w:val="28"/>
          <w:highlight w:val="none"/>
        </w:rPr>
        <w:t>一、报价函</w:t>
      </w:r>
      <w:bookmarkEnd w:id="162"/>
      <w:bookmarkEnd w:id="163"/>
    </w:p>
    <w:p>
      <w:pPr>
        <w:ind w:firstLine="420" w:firstLineChars="200"/>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（建设单位名称）: </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．我方已仔细研究了____________________（项目名称）比选文件的全部内容，愿意以人民币</w:t>
      </w:r>
      <w:r>
        <w:rPr>
          <w:rFonts w:ascii="宋体" w:cs="宋体"/>
          <w:kern w:val="0"/>
          <w:szCs w:val="21"/>
          <w:highlight w:val="none"/>
        </w:rPr>
        <w:t>（</w:t>
      </w:r>
      <w:r>
        <w:rPr>
          <w:rFonts w:hint="eastAsia" w:ascii="宋体" w:cs="宋体"/>
          <w:kern w:val="0"/>
          <w:szCs w:val="21"/>
          <w:highlight w:val="none"/>
        </w:rPr>
        <w:t>大写</w:t>
      </w:r>
      <w:r>
        <w:rPr>
          <w:rFonts w:ascii="宋体" w:cs="宋体"/>
          <w:kern w:val="0"/>
          <w:szCs w:val="21"/>
          <w:highlight w:val="none"/>
        </w:rPr>
        <w:t>）</w:t>
      </w:r>
      <w:r>
        <w:rPr>
          <w:rFonts w:hint="eastAsia" w:ascii="宋体" w:cs="宋体"/>
          <w:kern w:val="0"/>
          <w:szCs w:val="21"/>
          <w:highlight w:val="none"/>
        </w:rPr>
        <w:t xml:space="preserve"> ____________</w:t>
      </w:r>
      <w:r>
        <w:rPr>
          <w:rFonts w:ascii="宋体" w:cs="宋体"/>
          <w:kern w:val="0"/>
          <w:szCs w:val="21"/>
          <w:highlight w:val="none"/>
        </w:rPr>
        <w:t xml:space="preserve"> </w:t>
      </w:r>
      <w:r>
        <w:rPr>
          <w:rFonts w:hint="eastAsia" w:ascii="宋体" w:cs="宋体"/>
          <w:kern w:val="0"/>
          <w:szCs w:val="21"/>
          <w:highlight w:val="none"/>
        </w:rPr>
        <w:t>元</w:t>
      </w:r>
      <w:r>
        <w:rPr>
          <w:rFonts w:ascii="宋体" w:cs="宋体"/>
          <w:kern w:val="0"/>
          <w:szCs w:val="21"/>
          <w:highlight w:val="none"/>
        </w:rPr>
        <w:t>（</w:t>
      </w:r>
      <w:r>
        <w:rPr>
          <w:rFonts w:hint="eastAsia" w:ascii="宋体" w:cs="宋体"/>
          <w:kern w:val="0"/>
          <w:szCs w:val="21"/>
          <w:highlight w:val="none"/>
        </w:rPr>
        <w:t>￥</w:t>
      </w:r>
      <w:r>
        <w:rPr>
          <w:rFonts w:ascii="宋体" w:cs="宋体"/>
          <w:kern w:val="0"/>
          <w:szCs w:val="21"/>
          <w:highlight w:val="none"/>
        </w:rPr>
        <w:t>）</w:t>
      </w:r>
      <w:r>
        <w:rPr>
          <w:rFonts w:hint="eastAsia" w:ascii="宋体" w:cs="宋体"/>
          <w:kern w:val="0"/>
          <w:szCs w:val="21"/>
          <w:highlight w:val="none"/>
        </w:rPr>
        <w:t xml:space="preserve"> ____________的总报价，承诺在服务期____________个月内，按合同约定实施和完成承包任务。</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2</w:t>
      </w:r>
      <w:r>
        <w:rPr>
          <w:rFonts w:hint="eastAsia" w:ascii="宋体" w:cs="宋体"/>
          <w:kern w:val="0"/>
          <w:szCs w:val="21"/>
          <w:highlight w:val="none"/>
        </w:rPr>
        <w:t>．我方同意比选文件中规定的响应文件有效期，承诺在响应文件有效期内不补充、修改、撤销本响应文件。</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3</w:t>
      </w:r>
      <w:r>
        <w:rPr>
          <w:rFonts w:hint="eastAsia" w:ascii="宋体" w:cs="宋体"/>
          <w:kern w:val="0"/>
          <w:szCs w:val="21"/>
          <w:highlight w:val="none"/>
        </w:rPr>
        <w:t>．如我方成交，我方拟派____________为本项目负责人。</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4</w:t>
      </w:r>
      <w:r>
        <w:rPr>
          <w:rFonts w:hint="eastAsia" w:ascii="宋体" w:cs="宋体"/>
          <w:kern w:val="0"/>
          <w:szCs w:val="21"/>
          <w:highlight w:val="none"/>
        </w:rPr>
        <w:t>．随同本报价函提交比选保证金一份，金额为人民币</w:t>
      </w:r>
      <w:r>
        <w:rPr>
          <w:rFonts w:ascii="宋体" w:cs="宋体"/>
          <w:kern w:val="0"/>
          <w:szCs w:val="21"/>
          <w:highlight w:val="none"/>
        </w:rPr>
        <w:t>（</w:t>
      </w:r>
      <w:r>
        <w:rPr>
          <w:rFonts w:hint="eastAsia" w:ascii="宋体" w:cs="宋体"/>
          <w:kern w:val="0"/>
          <w:szCs w:val="21"/>
          <w:highlight w:val="none"/>
        </w:rPr>
        <w:t>大写</w:t>
      </w:r>
      <w:r>
        <w:rPr>
          <w:rFonts w:ascii="宋体" w:cs="宋体"/>
          <w:kern w:val="0"/>
          <w:szCs w:val="21"/>
          <w:highlight w:val="none"/>
        </w:rPr>
        <w:t>）</w:t>
      </w:r>
      <w:r>
        <w:rPr>
          <w:rFonts w:hint="eastAsia" w:ascii="宋体" w:cs="宋体"/>
          <w:kern w:val="0"/>
          <w:szCs w:val="21"/>
          <w:highlight w:val="none"/>
        </w:rPr>
        <w:t xml:space="preserve"> ____________</w:t>
      </w:r>
      <w:r>
        <w:rPr>
          <w:rFonts w:ascii="宋体" w:cs="宋体"/>
          <w:kern w:val="0"/>
          <w:szCs w:val="21"/>
          <w:highlight w:val="none"/>
        </w:rPr>
        <w:t xml:space="preserve"> </w:t>
      </w:r>
      <w:r>
        <w:rPr>
          <w:rFonts w:hint="eastAsia" w:ascii="宋体" w:cs="宋体"/>
          <w:kern w:val="0"/>
          <w:szCs w:val="21"/>
          <w:highlight w:val="none"/>
        </w:rPr>
        <w:t>元（￥）____________。</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5.</w:t>
      </w:r>
      <w:r>
        <w:rPr>
          <w:rFonts w:hint="eastAsia" w:ascii="宋体" w:cs="宋体"/>
          <w:kern w:val="0"/>
          <w:szCs w:val="21"/>
          <w:highlight w:val="none"/>
        </w:rPr>
        <w:t>如我方成交：</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我方承诺在收到中选通知书后，在中选通知书规定的期限内与你方签订合同；</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（2）</w:t>
      </w:r>
      <w:r>
        <w:rPr>
          <w:rFonts w:hint="eastAsia" w:ascii="宋体" w:cs="宋体"/>
          <w:kern w:val="0"/>
          <w:szCs w:val="21"/>
          <w:highlight w:val="none"/>
        </w:rPr>
        <w:t>我方承诺按照比选文件规定向你方递交履约担保；</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（3）</w:t>
      </w:r>
      <w:r>
        <w:rPr>
          <w:rFonts w:hint="eastAsia" w:ascii="宋体" w:cs="宋体"/>
          <w:kern w:val="0"/>
          <w:szCs w:val="21"/>
          <w:highlight w:val="none"/>
        </w:rPr>
        <w:t>我方承诺在比选文件规定的期限内调遣人员，并组织实施，并在合同规定的期限内完成并提交全部工作成果；</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（4）</w:t>
      </w:r>
      <w:r>
        <w:rPr>
          <w:rFonts w:hint="eastAsia" w:ascii="宋体" w:cs="宋体"/>
          <w:kern w:val="0"/>
          <w:szCs w:val="21"/>
          <w:highlight w:val="none"/>
        </w:rPr>
        <w:t>我方承诺本报价函在比选文件规定的提交参选文件截止时间后，在比选文件规定的参选文件有效期期满前对我方具有约束力，且随时准备接受你方发出的中选通知书。</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6</w:t>
      </w:r>
      <w:r>
        <w:rPr>
          <w:rFonts w:hint="eastAsia" w:ascii="宋体" w:cs="宋体"/>
          <w:kern w:val="0"/>
          <w:szCs w:val="21"/>
          <w:highlight w:val="none"/>
        </w:rPr>
        <w:t>．我方在此声明，所递交的参选文件及有关资料内容完整、真实和准确。</w:t>
      </w:r>
    </w:p>
    <w:p>
      <w:pPr>
        <w:spacing w:line="360" w:lineRule="auto"/>
        <w:rPr>
          <w:rFonts w:ascii="宋体" w:hAnsi="宋体" w:cs="宋体"/>
          <w:szCs w:val="21"/>
          <w:highlight w:val="none"/>
        </w:rPr>
      </w:pPr>
      <w:r>
        <w:rPr>
          <w:rFonts w:ascii="宋体" w:cs="宋体"/>
          <w:kern w:val="0"/>
          <w:szCs w:val="21"/>
          <w:highlight w:val="none"/>
        </w:rPr>
        <w:t xml:space="preserve">7. </w:t>
      </w:r>
      <w:r>
        <w:rPr>
          <w:rFonts w:hint="eastAsia" w:ascii="宋体" w:cs="宋体"/>
          <w:kern w:val="0"/>
          <w:szCs w:val="21"/>
          <w:highlight w:val="none"/>
        </w:rPr>
        <w:t>____________</w:t>
      </w:r>
      <w:r>
        <w:rPr>
          <w:rFonts w:ascii="宋体" w:cs="宋体"/>
          <w:kern w:val="0"/>
          <w:szCs w:val="21"/>
          <w:highlight w:val="none"/>
        </w:rPr>
        <w:t xml:space="preserve"> （</w:t>
      </w:r>
      <w:r>
        <w:rPr>
          <w:rFonts w:hint="eastAsia" w:ascii="宋体" w:cs="宋体"/>
          <w:kern w:val="0"/>
          <w:szCs w:val="21"/>
          <w:highlight w:val="none"/>
        </w:rPr>
        <w:t>其他补充说明</w:t>
      </w:r>
      <w:r>
        <w:rPr>
          <w:rFonts w:ascii="宋体" w:cs="宋体"/>
          <w:kern w:val="0"/>
          <w:szCs w:val="21"/>
          <w:highlight w:val="none"/>
        </w:rPr>
        <w:t>）</w:t>
      </w:r>
      <w:r>
        <w:rPr>
          <w:rFonts w:hint="eastAsia" w:ascii="宋体" w:cs="宋体"/>
          <w:kern w:val="0"/>
          <w:szCs w:val="21"/>
          <w:highlight w:val="none"/>
        </w:rPr>
        <w:t>。</w:t>
      </w:r>
    </w:p>
    <w:p>
      <w:pPr>
        <w:spacing w:line="400" w:lineRule="exact"/>
        <w:ind w:firstLine="420" w:firstLineChars="200"/>
        <w:rPr>
          <w:rFonts w:ascii="宋体" w:hAnsi="宋体" w:cs="宋体"/>
          <w:szCs w:val="21"/>
          <w:highlight w:val="none"/>
        </w:rPr>
      </w:pP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参选单位：</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网址：</w:t>
      </w:r>
      <w:r>
        <w:rPr>
          <w:rFonts w:hint="eastAsia" w:ascii="宋体" w:hAnsi="宋体" w:cs="宋体"/>
          <w:szCs w:val="21"/>
          <w:highlight w:val="none"/>
          <w:u w:val="single"/>
        </w:rPr>
        <w:t xml:space="preserve">                                 </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u w:val="single"/>
        </w:rPr>
        <w:t xml:space="preserve">                                 </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传真：</w:t>
      </w:r>
      <w:r>
        <w:rPr>
          <w:rFonts w:hint="eastAsia" w:ascii="宋体" w:hAnsi="宋体" w:cs="宋体"/>
          <w:szCs w:val="21"/>
          <w:highlight w:val="none"/>
          <w:u w:val="single"/>
        </w:rPr>
        <w:t xml:space="preserve">                                 </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pPr>
        <w:spacing w:line="400" w:lineRule="exact"/>
        <w:ind w:firstLine="4305" w:firstLineChars="205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widowControl/>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sz w:val="28"/>
          <w:szCs w:val="28"/>
          <w:highlight w:val="none"/>
        </w:rPr>
      </w:pPr>
      <w:bookmarkStart w:id="164" w:name="_Toc460361777"/>
      <w:bookmarkStart w:id="165" w:name="_Toc460361835"/>
      <w:r>
        <w:rPr>
          <w:rFonts w:hint="eastAsia" w:ascii="宋体" w:hAnsi="宋体" w:cs="宋体"/>
          <w:sz w:val="28"/>
          <w:szCs w:val="28"/>
          <w:highlight w:val="none"/>
        </w:rPr>
        <w:t>二、法定代表人身份证明</w:t>
      </w:r>
      <w:bookmarkEnd w:id="164"/>
      <w:bookmarkEnd w:id="165"/>
      <w:r>
        <w:rPr>
          <w:rFonts w:hint="eastAsia" w:ascii="宋体" w:hAnsi="宋体" w:cs="宋体"/>
          <w:sz w:val="28"/>
          <w:szCs w:val="28"/>
          <w:highlight w:val="none"/>
        </w:rPr>
        <w:t>（适用于无委托代理人的情况）</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参选单位名称：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 xml:space="preserve">  职务：</w:t>
      </w:r>
      <w:r>
        <w:rPr>
          <w:rFonts w:hint="eastAsia" w:ascii="宋体" w:hAnsi="宋体" w:cs="宋体"/>
          <w:szCs w:val="21"/>
          <w:highlight w:val="none"/>
          <w:u w:val="single"/>
        </w:rPr>
        <w:t xml:space="preserve">       </w:t>
      </w:r>
      <w:r>
        <w:rPr>
          <w:rFonts w:hint="eastAsia" w:ascii="宋体" w:hAnsi="宋体" w:cs="宋体"/>
          <w:szCs w:val="21"/>
          <w:highlight w:val="none"/>
        </w:rPr>
        <w:t>_</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（参选单位名称）的法定代表人。</w:t>
      </w:r>
    </w:p>
    <w:p>
      <w:pPr>
        <w:spacing w:line="360" w:lineRule="auto"/>
        <w:ind w:firstLine="840" w:firstLineChars="400"/>
        <w:rPr>
          <w:rFonts w:ascii="宋体" w:hAnsi="宋体" w:cs="宋体"/>
          <w:szCs w:val="21"/>
          <w:highlight w:val="none"/>
        </w:rPr>
      </w:pPr>
      <w:r>
        <w:rPr>
          <w:rFonts w:hint="eastAsia" w:ascii="宋体" w:hAnsi="宋体" w:cs="宋体"/>
          <w:szCs w:val="21"/>
          <w:highlight w:val="none"/>
        </w:rPr>
        <w:t>特此证明。</w:t>
      </w:r>
    </w:p>
    <w:p>
      <w:pPr>
        <w:spacing w:line="400" w:lineRule="exact"/>
        <w:ind w:firstLine="420" w:firstLineChars="200"/>
        <w:rPr>
          <w:rFonts w:ascii="宋体" w:hAnsi="宋体" w:cs="宋体"/>
          <w:szCs w:val="21"/>
          <w:highlight w:val="none"/>
        </w:rPr>
      </w:pPr>
    </w:p>
    <w:p>
      <w:pPr>
        <w:spacing w:line="400" w:lineRule="exact"/>
        <w:ind w:firstLine="4200" w:firstLineChars="2000"/>
        <w:rPr>
          <w:rFonts w:ascii="宋体" w:hAnsi="宋体" w:cs="宋体"/>
          <w:szCs w:val="21"/>
          <w:highlight w:val="none"/>
        </w:rPr>
      </w:pPr>
      <w:r>
        <w:rPr>
          <w:rFonts w:hint="eastAsia" w:ascii="宋体" w:hAnsi="宋体" w:cs="宋体"/>
          <w:szCs w:val="21"/>
          <w:highlight w:val="none"/>
        </w:rPr>
        <w:t>参选单位：</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400" w:lineRule="exact"/>
        <w:ind w:firstLine="4515" w:firstLineChars="2150"/>
        <w:rPr>
          <w:rFonts w:ascii="宋体" w:hAnsi="宋体" w:cs="宋体"/>
          <w:szCs w:val="21"/>
          <w:highlight w:val="none"/>
          <w:u w:val="single"/>
        </w:rPr>
      </w:pPr>
    </w:p>
    <w:p>
      <w:pPr>
        <w:spacing w:line="400" w:lineRule="exact"/>
        <w:ind w:firstLine="4515" w:firstLineChars="215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400" w:lineRule="exact"/>
        <w:ind w:firstLine="4515" w:firstLineChars="2150"/>
        <w:rPr>
          <w:rFonts w:ascii="宋体" w:hAnsi="宋体" w:cs="宋体"/>
          <w:szCs w:val="21"/>
          <w:highlight w:val="none"/>
        </w:rPr>
      </w:pPr>
    </w:p>
    <w:p>
      <w:pPr>
        <w:jc w:val="center"/>
        <w:rPr>
          <w:rFonts w:ascii="宋体" w:hAnsi="宋体" w:cs="宋体"/>
          <w:sz w:val="28"/>
          <w:szCs w:val="28"/>
          <w:highlight w:val="none"/>
        </w:rPr>
      </w:pPr>
      <w:bookmarkStart w:id="166" w:name="_Toc365956996"/>
      <w:bookmarkStart w:id="167" w:name="_Toc460361779"/>
      <w:bookmarkStart w:id="168" w:name="_Toc460361837"/>
      <w:r>
        <w:rPr>
          <w:rFonts w:hint="eastAsia" w:ascii="宋体" w:hAnsi="宋体" w:cs="宋体"/>
          <w:sz w:val="28"/>
          <w:szCs w:val="28"/>
          <w:highlight w:val="none"/>
        </w:rPr>
        <w:t>二、授权委托书</w:t>
      </w:r>
      <w:bookmarkEnd w:id="166"/>
      <w:bookmarkEnd w:id="167"/>
      <w:bookmarkEnd w:id="168"/>
      <w:r>
        <w:rPr>
          <w:rFonts w:hint="eastAsia" w:ascii="宋体" w:hAnsi="宋体" w:cs="宋体"/>
          <w:sz w:val="28"/>
          <w:szCs w:val="28"/>
          <w:highlight w:val="none"/>
        </w:rPr>
        <w:t>（适用于有委托代理人的情况）</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（参选单位名称）的法定代表人，现委托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施工参选文件、签订合同和处理有关事宜，其法律后果由我方承担。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附：法定代表人身份证及被授权人身份证</w:t>
      </w:r>
    </w:p>
    <w:p>
      <w:pPr>
        <w:spacing w:line="360" w:lineRule="auto"/>
        <w:ind w:firstLine="420" w:firstLineChars="200"/>
        <w:rPr>
          <w:rFonts w:ascii="宋体" w:hAnsi="宋体" w:cs="宋体"/>
          <w:szCs w:val="21"/>
          <w:highlight w:val="none"/>
        </w:rPr>
      </w:pPr>
    </w:p>
    <w:p>
      <w:pPr>
        <w:spacing w:line="360" w:lineRule="auto"/>
        <w:ind w:firstLine="4813" w:firstLineChars="2292"/>
        <w:rPr>
          <w:rFonts w:ascii="宋体" w:hAnsi="宋体" w:cs="宋体"/>
          <w:szCs w:val="21"/>
          <w:highlight w:val="none"/>
        </w:rPr>
      </w:pPr>
      <w:r>
        <w:rPr>
          <w:rFonts w:hint="eastAsia" w:ascii="宋体" w:hAnsi="宋体" w:cs="宋体"/>
          <w:szCs w:val="21"/>
          <w:highlight w:val="none"/>
        </w:rPr>
        <w:t>参选单位：</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60" w:lineRule="auto"/>
        <w:ind w:firstLine="4725" w:firstLineChars="2250"/>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spacing w:line="360" w:lineRule="auto"/>
        <w:ind w:firstLine="4725" w:firstLineChars="225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pPr>
        <w:spacing w:line="360" w:lineRule="auto"/>
        <w:ind w:firstLine="4725" w:firstLineChars="2250"/>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spacing w:line="360" w:lineRule="auto"/>
        <w:ind w:firstLine="4725" w:firstLineChars="225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pPr>
        <w:spacing w:line="400" w:lineRule="exact"/>
        <w:ind w:firstLine="6825" w:firstLineChars="3250"/>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日</w:t>
      </w:r>
    </w:p>
    <w:p>
      <w:pPr>
        <w:spacing w:before="312" w:beforeLines="100" w:after="156" w:afterLines="50"/>
        <w:jc w:val="center"/>
        <w:rPr>
          <w:rFonts w:ascii="宋体" w:hAnsi="宋体" w:cs="宋体"/>
          <w:sz w:val="28"/>
          <w:szCs w:val="28"/>
          <w:highlight w:val="none"/>
        </w:rPr>
      </w:pPr>
      <w:r>
        <w:rPr>
          <w:rFonts w:hint="eastAsia" w:ascii="宋体" w:hAnsi="宋体" w:cs="宋体"/>
          <w:sz w:val="28"/>
          <w:szCs w:val="28"/>
          <w:highlight w:val="none"/>
        </w:rPr>
        <w:t>三、比选保证金</w:t>
      </w:r>
    </w:p>
    <w:p>
      <w:pPr>
        <w:spacing w:line="480" w:lineRule="auto"/>
        <w:jc w:val="center"/>
        <w:rPr>
          <w:rFonts w:ascii="宋体" w:hAnsi="宋体" w:cs="宋体"/>
          <w:sz w:val="24"/>
          <w:szCs w:val="32"/>
          <w:highlight w:val="none"/>
        </w:rPr>
      </w:pPr>
      <w:r>
        <w:rPr>
          <w:rFonts w:hint="eastAsia" w:ascii="宋体" w:hAnsi="宋体" w:cs="宋体"/>
          <w:sz w:val="24"/>
          <w:szCs w:val="32"/>
          <w:highlight w:val="none"/>
        </w:rPr>
        <w:t>附比选保证金缴纳凭证复印件及开户许可证（或基本账户信息）复印件。</w:t>
      </w:r>
    </w:p>
    <w:p>
      <w:pPr>
        <w:spacing w:line="480" w:lineRule="auto"/>
        <w:jc w:val="center"/>
        <w:rPr>
          <w:rFonts w:ascii="宋体" w:hAnsi="宋体" w:cs="宋体"/>
          <w:b/>
          <w:bCs/>
          <w:sz w:val="24"/>
          <w:szCs w:val="32"/>
          <w:highlight w:val="none"/>
        </w:rPr>
      </w:pPr>
    </w:p>
    <w:p>
      <w:pPr>
        <w:widowControl/>
        <w:jc w:val="left"/>
        <w:rPr>
          <w:rFonts w:ascii="宋体" w:hAnsi="宋体" w:cs="宋体"/>
          <w:szCs w:val="21"/>
          <w:highlight w:val="none"/>
        </w:rPr>
      </w:pPr>
    </w:p>
    <w:p>
      <w:pPr>
        <w:widowControl/>
        <w:jc w:val="left"/>
        <w:rPr>
          <w:rFonts w:ascii="宋体" w:hAnsi="宋体" w:cs="宋体"/>
          <w:szCs w:val="21"/>
          <w:highlight w:val="none"/>
        </w:rPr>
      </w:pPr>
    </w:p>
    <w:p>
      <w:pPr>
        <w:widowControl/>
        <w:jc w:val="left"/>
        <w:rPr>
          <w:rFonts w:ascii="宋体" w:hAnsi="宋体" w:cs="宋体"/>
          <w:szCs w:val="21"/>
          <w:highlight w:val="none"/>
        </w:rPr>
      </w:pPr>
    </w:p>
    <w:p>
      <w:pPr>
        <w:widowControl/>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spacing w:line="400" w:lineRule="exact"/>
        <w:jc w:val="center"/>
        <w:rPr>
          <w:rFonts w:ascii="宋体" w:hAnsi="宋体" w:cs="宋体"/>
          <w:sz w:val="28"/>
          <w:szCs w:val="28"/>
          <w:highlight w:val="none"/>
        </w:rPr>
      </w:pPr>
      <w:bookmarkStart w:id="169" w:name="_Toc460361782"/>
      <w:bookmarkStart w:id="170" w:name="_Toc460361840"/>
      <w:r>
        <w:rPr>
          <w:rFonts w:hint="eastAsia" w:ascii="宋体" w:hAnsi="宋体" w:cs="宋体"/>
          <w:sz w:val="28"/>
          <w:szCs w:val="28"/>
          <w:highlight w:val="none"/>
        </w:rPr>
        <w:t>四、已填写的报价清单</w:t>
      </w:r>
    </w:p>
    <w:p>
      <w:pPr>
        <w:spacing w:line="400" w:lineRule="exact"/>
        <w:jc w:val="center"/>
        <w:rPr>
          <w:rFonts w:ascii="宋体" w:hAnsi="宋体" w:cs="宋体"/>
          <w:sz w:val="28"/>
          <w:szCs w:val="28"/>
          <w:highlight w:val="none"/>
        </w:rPr>
      </w:pPr>
    </w:p>
    <w:p>
      <w:pPr>
        <w:spacing w:line="400" w:lineRule="exact"/>
        <w:jc w:val="center"/>
        <w:rPr>
          <w:rFonts w:ascii="宋体" w:cs="宋体"/>
          <w:kern w:val="0"/>
          <w:sz w:val="24"/>
          <w:highlight w:val="none"/>
        </w:rPr>
      </w:pPr>
    </w:p>
    <w:p>
      <w:pPr>
        <w:spacing w:line="400" w:lineRule="exact"/>
        <w:jc w:val="center"/>
        <w:rPr>
          <w:rFonts w:ascii="宋体" w:cs="宋体"/>
          <w:kern w:val="0"/>
          <w:sz w:val="24"/>
          <w:highlight w:val="none"/>
        </w:rPr>
      </w:pPr>
    </w:p>
    <w:p>
      <w:pPr>
        <w:spacing w:line="400" w:lineRule="exact"/>
        <w:jc w:val="center"/>
        <w:rPr>
          <w:rFonts w:ascii="宋体" w:hAnsi="宋体" w:cs="宋体"/>
          <w:sz w:val="28"/>
          <w:szCs w:val="28"/>
          <w:highlight w:val="none"/>
        </w:rPr>
      </w:pPr>
      <w:r>
        <w:rPr>
          <w:rFonts w:hint="eastAsia" w:ascii="宋体" w:cs="宋体"/>
          <w:kern w:val="0"/>
          <w:sz w:val="24"/>
          <w:highlight w:val="none"/>
        </w:rPr>
        <w:t>按照第</w:t>
      </w:r>
      <w:r>
        <w:rPr>
          <w:rFonts w:ascii="宋体" w:cs="宋体"/>
          <w:kern w:val="0"/>
          <w:sz w:val="24"/>
          <w:highlight w:val="none"/>
        </w:rPr>
        <w:t>4</w:t>
      </w:r>
      <w:r>
        <w:rPr>
          <w:rFonts w:hint="eastAsia" w:ascii="宋体" w:cs="宋体"/>
          <w:kern w:val="0"/>
          <w:sz w:val="24"/>
          <w:highlight w:val="none"/>
        </w:rPr>
        <w:t>章报价清单格式填写。</w:t>
      </w: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五、</w:t>
      </w:r>
      <w:bookmarkEnd w:id="169"/>
      <w:bookmarkEnd w:id="170"/>
      <w:r>
        <w:rPr>
          <w:rFonts w:hint="eastAsia" w:ascii="宋体" w:hAnsi="宋体" w:cs="宋体"/>
          <w:sz w:val="28"/>
          <w:szCs w:val="28"/>
          <w:highlight w:val="none"/>
        </w:rPr>
        <w:t>实施方案</w:t>
      </w:r>
    </w:p>
    <w:p>
      <w:pPr>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实施方案应包括（不限于）对项目目标、工作任务的理解，项目组织机构能力，基础资料收集，进度计划及保证措施，质量保证措施，对本项目工作重点与难点分析及对策，交通工具配备及其他后勤保证措施、档案管理措施等。</w:t>
      </w:r>
    </w:p>
    <w:p>
      <w:pPr>
        <w:widowControl/>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sz w:val="28"/>
          <w:szCs w:val="28"/>
          <w:highlight w:val="none"/>
        </w:rPr>
      </w:pPr>
      <w:bookmarkStart w:id="171" w:name="_Toc460361783"/>
      <w:bookmarkStart w:id="172" w:name="_Toc460361841"/>
      <w:r>
        <w:rPr>
          <w:rFonts w:hint="eastAsia" w:ascii="宋体" w:hAnsi="宋体" w:cs="宋体"/>
          <w:sz w:val="28"/>
          <w:szCs w:val="28"/>
          <w:highlight w:val="none"/>
        </w:rPr>
        <w:t>六、项目管理机构</w:t>
      </w:r>
      <w:bookmarkEnd w:id="171"/>
      <w:bookmarkEnd w:id="172"/>
    </w:p>
    <w:p>
      <w:pPr>
        <w:jc w:val="center"/>
        <w:rPr>
          <w:rFonts w:ascii="宋体" w:hAnsi="宋体" w:cs="宋体"/>
          <w:sz w:val="24"/>
          <w:highlight w:val="none"/>
        </w:rPr>
      </w:pPr>
      <w:r>
        <w:rPr>
          <w:rFonts w:hint="eastAsia" w:ascii="宋体" w:hAnsi="宋体" w:cs="宋体"/>
          <w:sz w:val="24"/>
          <w:highlight w:val="none"/>
        </w:rPr>
        <w:t>（一）项目管理机构组成表</w:t>
      </w:r>
    </w:p>
    <w:p>
      <w:pPr>
        <w:rPr>
          <w:rFonts w:ascii="宋体" w:hAnsi="宋体" w:cs="宋体"/>
          <w:szCs w:val="21"/>
          <w:highlight w:val="none"/>
        </w:rPr>
      </w:pPr>
    </w:p>
    <w:tbl>
      <w:tblPr>
        <w:tblStyle w:val="3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29"/>
        <w:gridCol w:w="1016"/>
        <w:gridCol w:w="1658"/>
        <w:gridCol w:w="1028"/>
        <w:gridCol w:w="1235"/>
        <w:gridCol w:w="1470"/>
        <w:gridCol w:w="1518"/>
      </w:tblGrid>
      <w:tr>
        <w:tblPrEx>
          <w:tblCellMar>
            <w:top w:w="0" w:type="dxa"/>
            <w:left w:w="108" w:type="dxa"/>
            <w:bottom w:w="0" w:type="dxa"/>
            <w:right w:w="108" w:type="dxa"/>
          </w:tblCellMar>
        </w:tblPrEx>
        <w:trPr>
          <w:trHeight w:val="749"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16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专业</w:t>
            </w:r>
          </w:p>
        </w:tc>
        <w:tc>
          <w:tcPr>
            <w:tcW w:w="1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highlight w:val="none"/>
              </w:rPr>
            </w:pPr>
            <w:r>
              <w:rPr>
                <w:rFonts w:hint="eastAsia" w:ascii="宋体" w:cs="宋体"/>
                <w:kern w:val="0"/>
                <w:szCs w:val="21"/>
                <w:highlight w:val="none"/>
              </w:rPr>
              <w:t>从事相关</w:t>
            </w:r>
          </w:p>
          <w:p>
            <w:pPr>
              <w:jc w:val="center"/>
              <w:rPr>
                <w:rFonts w:ascii="宋体" w:hAnsi="宋体" w:cs="宋体"/>
                <w:szCs w:val="21"/>
                <w:highlight w:val="none"/>
              </w:rPr>
            </w:pPr>
            <w:r>
              <w:rPr>
                <w:rFonts w:hint="eastAsia" w:ascii="宋体" w:hAnsi="宋体" w:cs="宋体"/>
                <w:kern w:val="0"/>
                <w:szCs w:val="21"/>
                <w:highlight w:val="none"/>
              </w:rPr>
              <w:t>工作年</w:t>
            </w:r>
            <w:r>
              <w:rPr>
                <w:rFonts w:hint="eastAsia" w:ascii="宋体" w:cs="宋体"/>
                <w:kern w:val="0"/>
                <w:szCs w:val="21"/>
                <w:highlight w:val="none"/>
              </w:rPr>
              <w:t>限</w:t>
            </w:r>
          </w:p>
        </w:tc>
        <w:tc>
          <w:tcPr>
            <w:tcW w:w="1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kern w:val="0"/>
                <w:szCs w:val="21"/>
                <w:highlight w:val="none"/>
              </w:rPr>
            </w:pPr>
            <w:r>
              <w:rPr>
                <w:rFonts w:hint="eastAsia" w:ascii="宋体" w:cs="宋体"/>
                <w:kern w:val="0"/>
                <w:szCs w:val="21"/>
                <w:highlight w:val="none"/>
              </w:rPr>
              <w:t>拟任职务</w:t>
            </w:r>
          </w:p>
          <w:p>
            <w:pPr>
              <w:jc w:val="center"/>
              <w:rPr>
                <w:rFonts w:ascii="宋体" w:hAnsi="宋体" w:cs="宋体"/>
                <w:szCs w:val="21"/>
                <w:highlight w:val="none"/>
              </w:rPr>
            </w:pPr>
            <w:r>
              <w:rPr>
                <w:rFonts w:hint="eastAsia" w:ascii="宋体" w:hAnsi="宋体" w:cs="宋体"/>
                <w:kern w:val="0"/>
                <w:szCs w:val="21"/>
                <w:highlight w:val="none"/>
              </w:rPr>
              <w:t>、岗</w:t>
            </w:r>
            <w:r>
              <w:rPr>
                <w:rFonts w:hint="eastAsia" w:ascii="宋体" w:cs="宋体"/>
                <w:kern w:val="0"/>
                <w:szCs w:val="21"/>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829"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16"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65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02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235"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518"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bl>
    <w:p>
      <w:pPr>
        <w:rPr>
          <w:rFonts w:ascii="宋体" w:hAnsi="宋体" w:cs="宋体"/>
          <w:szCs w:val="21"/>
          <w:highlight w:val="none"/>
        </w:rPr>
      </w:pPr>
    </w:p>
    <w:p>
      <w:pPr>
        <w:widowControl/>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sz w:val="24"/>
          <w:highlight w:val="none"/>
        </w:rPr>
      </w:pPr>
      <w:r>
        <w:rPr>
          <w:rFonts w:hint="eastAsia" w:ascii="宋体" w:hAnsi="宋体" w:cs="宋体"/>
          <w:sz w:val="24"/>
          <w:highlight w:val="none"/>
        </w:rPr>
        <w:t>（二）主要人员简历表</w:t>
      </w:r>
    </w:p>
    <w:p>
      <w:pPr>
        <w:ind w:firstLine="420" w:firstLineChars="200"/>
        <w:rPr>
          <w:rFonts w:ascii="宋体" w:hAnsi="宋体" w:cs="宋体"/>
          <w:szCs w:val="21"/>
          <w:highlight w:val="none"/>
        </w:rPr>
      </w:pPr>
      <w:r>
        <w:rPr>
          <w:rFonts w:hint="eastAsia" w:ascii="宋体" w:hAnsi="宋体" w:cs="宋体"/>
          <w:szCs w:val="21"/>
          <w:highlight w:val="none"/>
        </w:rPr>
        <w:t>“主要人员简历表”中的项目负责人应附身份证、职称证、学历证、养老保险复印件，项目业绩（中标通知书或合同协议书或委托方出具的项目已完成证明）；其他主要人员应附职称证（执业证或上岗证书）。拟投入管理人员须提供社会保险证明材料。</w:t>
      </w:r>
    </w:p>
    <w:p>
      <w:pPr>
        <w:rPr>
          <w:rFonts w:ascii="宋体" w:hAnsi="宋体" w:cs="宋体"/>
          <w:szCs w:val="21"/>
          <w:highlight w:val="none"/>
        </w:rPr>
      </w:pPr>
    </w:p>
    <w:tbl>
      <w:tblPr>
        <w:tblStyle w:val="3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学          历</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职务</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拟在本合同任职</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毕业学校</w:t>
            </w:r>
          </w:p>
        </w:tc>
        <w:tc>
          <w:tcPr>
            <w:tcW w:w="7857" w:type="dxa"/>
            <w:gridSpan w:val="7"/>
            <w:tcBorders>
              <w:top w:val="single" w:color="auto" w:sz="4" w:space="0"/>
              <w:left w:val="single" w:color="auto" w:sz="4" w:space="0"/>
              <w:bottom w:val="single" w:color="auto" w:sz="4" w:space="0"/>
              <w:right w:val="single" w:color="auto" w:sz="4" w:space="0"/>
            </w:tcBorders>
            <w:vAlign w:val="center"/>
          </w:tcPr>
          <w:p>
            <w:pPr>
              <w:ind w:firstLine="525" w:firstLineChars="250"/>
              <w:jc w:val="center"/>
              <w:rPr>
                <w:rFonts w:ascii="宋体" w:hAnsi="宋体" w:cs="宋体"/>
                <w:szCs w:val="21"/>
                <w:highlight w:val="none"/>
              </w:rPr>
            </w:pPr>
            <w:r>
              <w:rPr>
                <w:rFonts w:hint="eastAsia" w:ascii="宋体" w:hAnsi="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62" w:type="dxa"/>
            <w:gridSpan w:val="9"/>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时间</w:t>
            </w:r>
          </w:p>
        </w:tc>
        <w:tc>
          <w:tcPr>
            <w:tcW w:w="39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参加过的类似项目</w:t>
            </w:r>
          </w:p>
        </w:tc>
        <w:tc>
          <w:tcPr>
            <w:tcW w:w="1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担任职务</w:t>
            </w:r>
          </w:p>
        </w:tc>
        <w:tc>
          <w:tcPr>
            <w:tcW w:w="24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3"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p>
        </w:tc>
      </w:tr>
    </w:tbl>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widowControl/>
        <w:jc w:val="center"/>
        <w:rPr>
          <w:rFonts w:ascii="宋体" w:hAnsi="宋体" w:cs="宋体"/>
          <w:b/>
          <w:sz w:val="28"/>
          <w:szCs w:val="28"/>
          <w:highlight w:val="none"/>
        </w:rPr>
      </w:pPr>
    </w:p>
    <w:p>
      <w:pPr>
        <w:widowControl/>
        <w:jc w:val="center"/>
        <w:rPr>
          <w:rFonts w:ascii="宋体" w:hAnsi="宋体" w:cs="宋体"/>
          <w:b/>
          <w:sz w:val="28"/>
          <w:szCs w:val="28"/>
          <w:highlight w:val="none"/>
        </w:rPr>
      </w:pPr>
      <w:r>
        <w:rPr>
          <w:rFonts w:hint="eastAsia" w:ascii="宋体" w:hAnsi="宋体" w:cs="宋体"/>
          <w:b/>
          <w:sz w:val="28"/>
          <w:szCs w:val="28"/>
          <w:highlight w:val="none"/>
        </w:rPr>
        <w:t>七、资格审查资料</w:t>
      </w:r>
    </w:p>
    <w:p>
      <w:pPr>
        <w:jc w:val="center"/>
        <w:rPr>
          <w:rFonts w:ascii="宋体" w:hAnsi="宋体" w:cs="宋体"/>
          <w:sz w:val="24"/>
          <w:highlight w:val="none"/>
        </w:rPr>
      </w:pPr>
      <w:r>
        <w:rPr>
          <w:rFonts w:hint="eastAsia" w:ascii="宋体" w:hAnsi="宋体" w:cs="宋体"/>
          <w:sz w:val="24"/>
          <w:highlight w:val="none"/>
        </w:rPr>
        <w:t>（一）参选单位基本情况表</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 xml:space="preserve">7.1 </w:t>
      </w:r>
      <w:r>
        <w:rPr>
          <w:rFonts w:hint="eastAsia" w:ascii="宋体" w:cs="宋体"/>
          <w:kern w:val="0"/>
          <w:szCs w:val="21"/>
          <w:highlight w:val="none"/>
        </w:rPr>
        <w:t>参选单位基本情况表</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名称及概况：</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r>
        <w:rPr>
          <w:rFonts w:ascii="宋体" w:cs="宋体"/>
          <w:kern w:val="0"/>
          <w:szCs w:val="21"/>
          <w:highlight w:val="none"/>
        </w:rPr>
        <w:t>1</w:t>
      </w:r>
      <w:r>
        <w:rPr>
          <w:rFonts w:hint="eastAsia" w:ascii="宋体" w:cs="宋体"/>
          <w:kern w:val="0"/>
          <w:szCs w:val="21"/>
          <w:highlight w:val="none"/>
        </w:rPr>
        <w:t>）参选单位名称：________________________________________________________________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r>
        <w:rPr>
          <w:rFonts w:ascii="宋体" w:cs="宋体"/>
          <w:kern w:val="0"/>
          <w:szCs w:val="21"/>
          <w:highlight w:val="none"/>
        </w:rPr>
        <w:t>2</w:t>
      </w:r>
      <w:r>
        <w:rPr>
          <w:rFonts w:hint="eastAsia" w:ascii="宋体" w:cs="宋体"/>
          <w:kern w:val="0"/>
          <w:szCs w:val="21"/>
          <w:highlight w:val="none"/>
        </w:rPr>
        <w:t>）总部地址：_________________________________________________________________</w:t>
      </w:r>
    </w:p>
    <w:p>
      <w:pPr>
        <w:autoSpaceDE w:val="0"/>
        <w:autoSpaceDN w:val="0"/>
        <w:adjustRightInd w:val="0"/>
        <w:spacing w:line="360" w:lineRule="auto"/>
        <w:ind w:firstLine="735" w:firstLineChars="350"/>
        <w:jc w:val="left"/>
        <w:rPr>
          <w:rFonts w:ascii="宋体" w:cs="宋体"/>
          <w:kern w:val="0"/>
          <w:szCs w:val="21"/>
          <w:highlight w:val="none"/>
        </w:rPr>
      </w:pPr>
      <w:r>
        <w:rPr>
          <w:rFonts w:hint="eastAsia" w:ascii="宋体" w:cs="宋体"/>
          <w:kern w:val="0"/>
          <w:szCs w:val="21"/>
          <w:highlight w:val="none"/>
        </w:rPr>
        <w:t>电传</w:t>
      </w:r>
      <w:r>
        <w:rPr>
          <w:rFonts w:ascii="宋体" w:cs="宋体"/>
          <w:kern w:val="0"/>
          <w:szCs w:val="21"/>
          <w:highlight w:val="none"/>
        </w:rPr>
        <w:t>/</w:t>
      </w:r>
      <w:r>
        <w:rPr>
          <w:rFonts w:hint="eastAsia" w:ascii="宋体" w:cs="宋体"/>
          <w:kern w:val="0"/>
          <w:szCs w:val="21"/>
          <w:highlight w:val="none"/>
        </w:rPr>
        <w:t>传真</w:t>
      </w:r>
      <w:r>
        <w:rPr>
          <w:rFonts w:ascii="宋体" w:cs="宋体"/>
          <w:kern w:val="0"/>
          <w:szCs w:val="21"/>
          <w:highlight w:val="none"/>
        </w:rPr>
        <w:t>/</w:t>
      </w:r>
      <w:r>
        <w:rPr>
          <w:rFonts w:hint="eastAsia" w:ascii="宋体" w:cs="宋体"/>
          <w:kern w:val="0"/>
          <w:szCs w:val="21"/>
          <w:highlight w:val="none"/>
        </w:rPr>
        <w:t>电话号码：______________________________________________________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r>
        <w:rPr>
          <w:rFonts w:ascii="宋体" w:cs="宋体"/>
          <w:kern w:val="0"/>
          <w:szCs w:val="21"/>
          <w:highlight w:val="none"/>
        </w:rPr>
        <w:t>3</w:t>
      </w:r>
      <w:r>
        <w:rPr>
          <w:rFonts w:hint="eastAsia" w:ascii="宋体" w:cs="宋体"/>
          <w:kern w:val="0"/>
          <w:szCs w:val="21"/>
          <w:highlight w:val="none"/>
        </w:rPr>
        <w:t>）成立和</w:t>
      </w:r>
      <w:r>
        <w:rPr>
          <w:rFonts w:ascii="宋体" w:cs="宋体"/>
          <w:kern w:val="0"/>
          <w:szCs w:val="21"/>
          <w:highlight w:val="none"/>
        </w:rPr>
        <w:t>/</w:t>
      </w:r>
      <w:r>
        <w:rPr>
          <w:rFonts w:hint="eastAsia" w:ascii="宋体" w:cs="宋体"/>
          <w:kern w:val="0"/>
          <w:szCs w:val="21"/>
          <w:highlight w:val="none"/>
        </w:rPr>
        <w:t>或注册日期：__________________________________________________________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r>
        <w:rPr>
          <w:rFonts w:ascii="宋体" w:cs="宋体"/>
          <w:kern w:val="0"/>
          <w:szCs w:val="21"/>
          <w:highlight w:val="none"/>
        </w:rPr>
        <w:t>4</w:t>
      </w:r>
      <w:r>
        <w:rPr>
          <w:rFonts w:hint="eastAsia" w:ascii="宋体" w:cs="宋体"/>
          <w:kern w:val="0"/>
          <w:szCs w:val="21"/>
          <w:highlight w:val="none"/>
        </w:rPr>
        <w:t>）实收资本：____________________________________________________________________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r>
        <w:rPr>
          <w:rFonts w:ascii="宋体" w:cs="宋体"/>
          <w:kern w:val="0"/>
          <w:szCs w:val="21"/>
          <w:highlight w:val="none"/>
        </w:rPr>
        <w:t>5</w:t>
      </w:r>
      <w:r>
        <w:rPr>
          <w:rFonts w:hint="eastAsia" w:ascii="宋体" w:cs="宋体"/>
          <w:kern w:val="0"/>
          <w:szCs w:val="21"/>
          <w:highlight w:val="none"/>
        </w:rPr>
        <w:t>）近期资产负债表（截止年月日）</w:t>
      </w:r>
    </w:p>
    <w:p>
      <w:pPr>
        <w:autoSpaceDE w:val="0"/>
        <w:autoSpaceDN w:val="0"/>
        <w:adjustRightInd w:val="0"/>
        <w:spacing w:line="360" w:lineRule="auto"/>
        <w:ind w:firstLine="707" w:firstLineChars="337"/>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）固定资产：_______________________________</w:t>
      </w:r>
    </w:p>
    <w:p>
      <w:pPr>
        <w:autoSpaceDE w:val="0"/>
        <w:autoSpaceDN w:val="0"/>
        <w:adjustRightInd w:val="0"/>
        <w:spacing w:line="360" w:lineRule="auto"/>
        <w:ind w:firstLine="707" w:firstLineChars="337"/>
        <w:jc w:val="left"/>
        <w:rPr>
          <w:rFonts w:ascii="宋体" w:cs="宋体"/>
          <w:kern w:val="0"/>
          <w:szCs w:val="21"/>
          <w:highlight w:val="none"/>
        </w:rPr>
      </w:pPr>
      <w:r>
        <w:rPr>
          <w:rFonts w:ascii="宋体" w:cs="宋体"/>
          <w:kern w:val="0"/>
          <w:szCs w:val="21"/>
          <w:highlight w:val="none"/>
        </w:rPr>
        <w:t>2</w:t>
      </w:r>
      <w:r>
        <w:rPr>
          <w:rFonts w:hint="eastAsia" w:ascii="宋体" w:cs="宋体"/>
          <w:kern w:val="0"/>
          <w:szCs w:val="21"/>
          <w:highlight w:val="none"/>
        </w:rPr>
        <w:t>）流动资产：_______________________________</w:t>
      </w:r>
    </w:p>
    <w:p>
      <w:pPr>
        <w:autoSpaceDE w:val="0"/>
        <w:autoSpaceDN w:val="0"/>
        <w:adjustRightInd w:val="0"/>
        <w:spacing w:line="360" w:lineRule="auto"/>
        <w:ind w:firstLine="707" w:firstLineChars="337"/>
        <w:jc w:val="left"/>
        <w:rPr>
          <w:rFonts w:ascii="宋体" w:cs="宋体"/>
          <w:kern w:val="0"/>
          <w:szCs w:val="21"/>
          <w:highlight w:val="none"/>
        </w:rPr>
      </w:pPr>
      <w:r>
        <w:rPr>
          <w:rFonts w:ascii="宋体" w:cs="宋体"/>
          <w:kern w:val="0"/>
          <w:szCs w:val="21"/>
          <w:highlight w:val="none"/>
        </w:rPr>
        <w:t>3</w:t>
      </w:r>
      <w:r>
        <w:rPr>
          <w:rFonts w:hint="eastAsia" w:ascii="宋体" w:cs="宋体"/>
          <w:kern w:val="0"/>
          <w:szCs w:val="21"/>
          <w:highlight w:val="none"/>
        </w:rPr>
        <w:t>）长期负债：_______________________________</w:t>
      </w:r>
    </w:p>
    <w:p>
      <w:pPr>
        <w:autoSpaceDE w:val="0"/>
        <w:autoSpaceDN w:val="0"/>
        <w:adjustRightInd w:val="0"/>
        <w:spacing w:line="360" w:lineRule="auto"/>
        <w:ind w:firstLine="707" w:firstLineChars="337"/>
        <w:jc w:val="left"/>
        <w:rPr>
          <w:rFonts w:ascii="宋体" w:cs="宋体"/>
          <w:kern w:val="0"/>
          <w:szCs w:val="21"/>
          <w:highlight w:val="none"/>
        </w:rPr>
      </w:pPr>
      <w:r>
        <w:rPr>
          <w:rFonts w:ascii="宋体" w:cs="宋体"/>
          <w:kern w:val="0"/>
          <w:szCs w:val="21"/>
          <w:highlight w:val="none"/>
        </w:rPr>
        <w:t>4</w:t>
      </w:r>
      <w:r>
        <w:rPr>
          <w:rFonts w:hint="eastAsia" w:ascii="宋体" w:cs="宋体"/>
          <w:kern w:val="0"/>
          <w:szCs w:val="21"/>
          <w:highlight w:val="none"/>
        </w:rPr>
        <w:t>）流动负债：_______________________________</w:t>
      </w:r>
    </w:p>
    <w:p>
      <w:pPr>
        <w:autoSpaceDE w:val="0"/>
        <w:autoSpaceDN w:val="0"/>
        <w:adjustRightInd w:val="0"/>
        <w:spacing w:line="360" w:lineRule="auto"/>
        <w:ind w:firstLine="707" w:firstLineChars="337"/>
        <w:jc w:val="left"/>
        <w:rPr>
          <w:rFonts w:ascii="宋体" w:cs="宋体"/>
          <w:kern w:val="0"/>
          <w:szCs w:val="21"/>
          <w:highlight w:val="none"/>
        </w:rPr>
      </w:pPr>
      <w:r>
        <w:rPr>
          <w:rFonts w:ascii="宋体" w:cs="宋体"/>
          <w:kern w:val="0"/>
          <w:szCs w:val="21"/>
          <w:highlight w:val="none"/>
        </w:rPr>
        <w:t>5</w:t>
      </w:r>
      <w:r>
        <w:rPr>
          <w:rFonts w:hint="eastAsia" w:ascii="宋体" w:cs="宋体"/>
          <w:kern w:val="0"/>
          <w:szCs w:val="21"/>
          <w:highlight w:val="none"/>
        </w:rPr>
        <w:t>）净值：_______________________________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r>
        <w:rPr>
          <w:rFonts w:ascii="宋体" w:cs="宋体"/>
          <w:kern w:val="0"/>
          <w:szCs w:val="21"/>
          <w:highlight w:val="none"/>
        </w:rPr>
        <w:t>6</w:t>
      </w:r>
      <w:r>
        <w:rPr>
          <w:rFonts w:hint="eastAsia" w:ascii="宋体" w:cs="宋体"/>
          <w:kern w:val="0"/>
          <w:szCs w:val="21"/>
          <w:highlight w:val="none"/>
        </w:rPr>
        <w:t>）主要负责人姓名：_________________</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2.</w:t>
      </w:r>
      <w:r>
        <w:rPr>
          <w:rFonts w:hint="eastAsia" w:ascii="宋体" w:cs="宋体"/>
          <w:kern w:val="0"/>
          <w:szCs w:val="21"/>
          <w:highlight w:val="none"/>
        </w:rPr>
        <w:t>近</w:t>
      </w:r>
      <w:r>
        <w:rPr>
          <w:rFonts w:ascii="宋体" w:cs="宋体"/>
          <w:kern w:val="0"/>
          <w:szCs w:val="21"/>
          <w:highlight w:val="none"/>
        </w:rPr>
        <w:t>3</w:t>
      </w:r>
      <w:r>
        <w:rPr>
          <w:rFonts w:hint="eastAsia" w:ascii="宋体" w:cs="宋体"/>
          <w:kern w:val="0"/>
          <w:szCs w:val="21"/>
          <w:highlight w:val="none"/>
        </w:rPr>
        <w:t>年的年营业额：</w:t>
      </w:r>
    </w:p>
    <w:p>
      <w:pPr>
        <w:autoSpaceDE w:val="0"/>
        <w:autoSpaceDN w:val="0"/>
        <w:adjustRightInd w:val="0"/>
        <w:spacing w:line="360" w:lineRule="auto"/>
        <w:ind w:firstLine="630" w:firstLineChars="300"/>
        <w:jc w:val="left"/>
        <w:rPr>
          <w:rFonts w:ascii="宋体" w:cs="宋体"/>
          <w:kern w:val="0"/>
          <w:szCs w:val="21"/>
          <w:highlight w:val="none"/>
        </w:rPr>
      </w:pPr>
      <w:r>
        <w:rPr>
          <w:rFonts w:hint="eastAsia" w:ascii="宋体" w:cs="宋体"/>
          <w:kern w:val="0"/>
          <w:szCs w:val="21"/>
          <w:highlight w:val="none"/>
        </w:rPr>
        <w:t>年份                         总额</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_________________            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_________________            _________________</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_________________            _________________</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3.</w:t>
      </w:r>
      <w:r>
        <w:rPr>
          <w:rFonts w:hint="eastAsia" w:ascii="宋体" w:cs="宋体"/>
          <w:kern w:val="0"/>
          <w:szCs w:val="21"/>
          <w:highlight w:val="none"/>
        </w:rPr>
        <w:t>有关开户银行的名称和地址：________________________________</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4.</w:t>
      </w:r>
      <w:r>
        <w:rPr>
          <w:rFonts w:hint="eastAsia" w:ascii="宋体" w:cs="宋体"/>
          <w:kern w:val="0"/>
          <w:szCs w:val="21"/>
          <w:highlight w:val="none"/>
        </w:rPr>
        <w:t>所属的集团公司，如有的话：</w:t>
      </w:r>
      <w:r>
        <w:rPr>
          <w:rFonts w:ascii="宋体" w:cs="宋体"/>
          <w:kern w:val="0"/>
          <w:szCs w:val="21"/>
          <w:highlight w:val="none"/>
        </w:rPr>
        <w:t xml:space="preserve"> </w:t>
      </w:r>
      <w:r>
        <w:rPr>
          <w:rFonts w:hint="eastAsia" w:ascii="宋体" w:cs="宋体"/>
          <w:kern w:val="0"/>
          <w:szCs w:val="21"/>
          <w:highlight w:val="none"/>
        </w:rPr>
        <w:t>_______________</w:t>
      </w:r>
      <w:r>
        <w:rPr>
          <w:rFonts w:hint="eastAsia" w:ascii="宋体" w:cs="宋体"/>
          <w:kern w:val="0"/>
          <w:szCs w:val="21"/>
          <w:highlight w:val="none"/>
          <w:u w:val="single"/>
        </w:rPr>
        <w:t>_    _____</w:t>
      </w:r>
      <w:r>
        <w:rPr>
          <w:rFonts w:hint="eastAsia" w:ascii="宋体" w:cs="宋体"/>
          <w:kern w:val="0"/>
          <w:szCs w:val="21"/>
          <w:highlight w:val="none"/>
        </w:rPr>
        <w:t>______</w:t>
      </w:r>
    </w:p>
    <w:p>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5.</w:t>
      </w:r>
      <w:r>
        <w:rPr>
          <w:rFonts w:hint="eastAsia" w:ascii="宋体" w:cs="宋体"/>
          <w:kern w:val="0"/>
          <w:szCs w:val="21"/>
          <w:highlight w:val="none"/>
        </w:rPr>
        <w:t>其它情况：</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兹证明上述声明是真实、正确的，并提供了全部能提供的数据和数据，我们同意遵照贵方要求出示有关证明文件。</w:t>
      </w:r>
    </w:p>
    <w:p>
      <w:pPr>
        <w:wordWrap w:val="0"/>
        <w:autoSpaceDE w:val="0"/>
        <w:autoSpaceDN w:val="0"/>
        <w:adjustRightInd w:val="0"/>
        <w:spacing w:line="360" w:lineRule="auto"/>
        <w:jc w:val="right"/>
        <w:rPr>
          <w:rFonts w:ascii="宋体" w:cs="宋体"/>
          <w:kern w:val="0"/>
          <w:szCs w:val="21"/>
          <w:highlight w:val="none"/>
        </w:rPr>
      </w:pPr>
      <w:r>
        <w:rPr>
          <w:rFonts w:hint="eastAsia" w:ascii="宋体" w:cs="宋体"/>
          <w:kern w:val="0"/>
          <w:szCs w:val="21"/>
          <w:highlight w:val="none"/>
        </w:rPr>
        <w:t xml:space="preserve">参选单位：（盖单位章）      </w:t>
      </w:r>
    </w:p>
    <w:p>
      <w:pPr>
        <w:wordWrap w:val="0"/>
        <w:autoSpaceDE w:val="0"/>
        <w:autoSpaceDN w:val="0"/>
        <w:adjustRightInd w:val="0"/>
        <w:spacing w:line="360" w:lineRule="auto"/>
        <w:jc w:val="right"/>
        <w:rPr>
          <w:rFonts w:ascii="宋体" w:cs="宋体"/>
          <w:kern w:val="0"/>
          <w:szCs w:val="21"/>
          <w:highlight w:val="none"/>
        </w:rPr>
      </w:pPr>
      <w:r>
        <w:rPr>
          <w:rFonts w:hint="eastAsia" w:ascii="宋体" w:cs="宋体"/>
          <w:kern w:val="0"/>
          <w:szCs w:val="21"/>
          <w:highlight w:val="none"/>
        </w:rPr>
        <w:t xml:space="preserve">法定代表人或委托代理人：（签名）            </w:t>
      </w:r>
    </w:p>
    <w:p>
      <w:pPr>
        <w:spacing w:line="360" w:lineRule="auto"/>
        <w:jc w:val="right"/>
        <w:rPr>
          <w:rFonts w:ascii="宋体" w:hAnsi="宋体" w:cs="宋体"/>
          <w:szCs w:val="21"/>
          <w:highlight w:val="none"/>
        </w:rPr>
      </w:pPr>
      <w:r>
        <w:rPr>
          <w:rFonts w:hint="eastAsia" w:ascii="宋体" w:cs="宋体"/>
          <w:kern w:val="0"/>
          <w:szCs w:val="21"/>
          <w:highlight w:val="none"/>
        </w:rPr>
        <w:t>年       月      日</w:t>
      </w:r>
    </w:p>
    <w:p>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备注：</w:t>
      </w:r>
      <w:r>
        <w:rPr>
          <w:rFonts w:ascii="宋体" w:cs="宋体"/>
          <w:kern w:val="0"/>
          <w:szCs w:val="21"/>
          <w:highlight w:val="none"/>
        </w:rPr>
        <w:t>1</w:t>
      </w:r>
      <w:r>
        <w:rPr>
          <w:rFonts w:hint="eastAsia" w:ascii="宋体" w:cs="宋体"/>
          <w:kern w:val="0"/>
          <w:szCs w:val="21"/>
          <w:highlight w:val="none"/>
        </w:rPr>
        <w:t>.本声明中所指近</w:t>
      </w:r>
      <w:r>
        <w:rPr>
          <w:rFonts w:ascii="宋体" w:cs="宋体"/>
          <w:kern w:val="0"/>
          <w:szCs w:val="21"/>
          <w:highlight w:val="none"/>
        </w:rPr>
        <w:t>3</w:t>
      </w:r>
      <w:r>
        <w:rPr>
          <w:rFonts w:hint="eastAsia" w:ascii="宋体" w:cs="宋体"/>
          <w:kern w:val="0"/>
          <w:szCs w:val="21"/>
          <w:highlight w:val="none"/>
        </w:rPr>
        <w:t>年是：“</w:t>
      </w:r>
      <w:r>
        <w:rPr>
          <w:rFonts w:ascii="宋体" w:cs="宋体"/>
          <w:kern w:val="0"/>
          <w:szCs w:val="21"/>
          <w:highlight w:val="none"/>
        </w:rPr>
        <w:t>202</w:t>
      </w:r>
      <w:r>
        <w:rPr>
          <w:rFonts w:hint="eastAsia" w:ascii="宋体" w:cs="宋体"/>
          <w:kern w:val="0"/>
          <w:szCs w:val="21"/>
          <w:highlight w:val="none"/>
        </w:rPr>
        <w:t>1年至</w:t>
      </w:r>
      <w:r>
        <w:rPr>
          <w:rFonts w:ascii="宋体" w:cs="宋体"/>
          <w:kern w:val="0"/>
          <w:szCs w:val="21"/>
          <w:highlight w:val="none"/>
        </w:rPr>
        <w:t>202</w:t>
      </w:r>
      <w:r>
        <w:rPr>
          <w:rFonts w:hint="eastAsia" w:ascii="宋体" w:cs="宋体"/>
          <w:kern w:val="0"/>
          <w:szCs w:val="21"/>
          <w:highlight w:val="none"/>
        </w:rPr>
        <w:t>3年”。</w:t>
      </w:r>
      <w:r>
        <w:rPr>
          <w:rFonts w:ascii="宋体" w:cs="宋体"/>
          <w:kern w:val="0"/>
          <w:szCs w:val="21"/>
          <w:highlight w:val="none"/>
        </w:rPr>
        <w:t>2</w:t>
      </w:r>
      <w:r>
        <w:rPr>
          <w:rFonts w:hint="eastAsia" w:ascii="宋体" w:cs="宋体"/>
          <w:kern w:val="0"/>
          <w:szCs w:val="21"/>
          <w:highlight w:val="none"/>
        </w:rPr>
        <w:t>.附营业执照（或事业单位法人证书）。</w:t>
      </w:r>
    </w:p>
    <w:p>
      <w:pPr>
        <w:autoSpaceDE w:val="0"/>
        <w:autoSpaceDN w:val="0"/>
        <w:adjustRightInd w:val="0"/>
        <w:spacing w:line="360" w:lineRule="auto"/>
        <w:jc w:val="left"/>
        <w:rPr>
          <w:rFonts w:ascii="宋体" w:cs="宋体"/>
          <w:kern w:val="0"/>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sz w:val="24"/>
          <w:highlight w:val="none"/>
        </w:rPr>
      </w:pPr>
      <w:r>
        <w:rPr>
          <w:rFonts w:hint="eastAsia" w:ascii="宋体" w:hAnsi="宋体" w:cs="宋体"/>
          <w:sz w:val="24"/>
          <w:highlight w:val="none"/>
        </w:rPr>
        <w:t>（二）财务状况报告，依法缴纳税收和社会保障资金的相关材料；</w:t>
      </w:r>
    </w:p>
    <w:p>
      <w:pPr>
        <w:autoSpaceDE w:val="0"/>
        <w:autoSpaceDN w:val="0"/>
        <w:adjustRightInd w:val="0"/>
        <w:spacing w:line="360" w:lineRule="auto"/>
        <w:ind w:firstLine="420" w:firstLineChars="200"/>
        <w:jc w:val="left"/>
        <w:rPr>
          <w:rFonts w:ascii="宋体" w:cs="宋体"/>
          <w:kern w:val="0"/>
          <w:szCs w:val="21"/>
          <w:highlight w:val="none"/>
        </w:rPr>
      </w:pPr>
    </w:p>
    <w:p>
      <w:pPr>
        <w:autoSpaceDE w:val="0"/>
        <w:autoSpaceDN w:val="0"/>
        <w:adjustRightInd w:val="0"/>
        <w:spacing w:line="360" w:lineRule="auto"/>
        <w:ind w:firstLine="420" w:firstLineChars="200"/>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.提供2021-2023年共三年财务审计报告或事业单位财务状况证明文件。</w:t>
      </w:r>
    </w:p>
    <w:p>
      <w:pPr>
        <w:autoSpaceDE w:val="0"/>
        <w:autoSpaceDN w:val="0"/>
        <w:adjustRightInd w:val="0"/>
        <w:spacing w:line="360" w:lineRule="auto"/>
        <w:ind w:firstLine="420" w:firstLineChars="200"/>
        <w:jc w:val="left"/>
        <w:rPr>
          <w:rFonts w:ascii="宋体" w:cs="宋体"/>
          <w:kern w:val="0"/>
          <w:szCs w:val="21"/>
          <w:highlight w:val="none"/>
        </w:rPr>
      </w:pPr>
      <w:r>
        <w:rPr>
          <w:rFonts w:ascii="宋体" w:cs="宋体"/>
          <w:kern w:val="0"/>
          <w:szCs w:val="21"/>
          <w:highlight w:val="none"/>
        </w:rPr>
        <w:t>2</w:t>
      </w:r>
      <w:r>
        <w:rPr>
          <w:rFonts w:hint="eastAsia" w:ascii="宋体" w:cs="宋体"/>
          <w:kern w:val="0"/>
          <w:szCs w:val="21"/>
          <w:highlight w:val="none"/>
        </w:rPr>
        <w:t>.税务登记证（已办理三证合一的参选单位无此项）及</w:t>
      </w:r>
      <w:r>
        <w:rPr>
          <w:rFonts w:ascii="宋体" w:cs="宋体"/>
          <w:kern w:val="0"/>
          <w:szCs w:val="21"/>
          <w:highlight w:val="none"/>
        </w:rPr>
        <w:t>2023</w:t>
      </w:r>
      <w:r>
        <w:rPr>
          <w:rFonts w:hint="eastAsia" w:ascii="宋体" w:cs="宋体"/>
          <w:kern w:val="0"/>
          <w:szCs w:val="21"/>
          <w:highlight w:val="none"/>
        </w:rPr>
        <w:t>年（或</w:t>
      </w:r>
      <w:r>
        <w:rPr>
          <w:rFonts w:ascii="宋体" w:cs="宋体"/>
          <w:kern w:val="0"/>
          <w:szCs w:val="21"/>
          <w:highlight w:val="none"/>
        </w:rPr>
        <w:t>2024</w:t>
      </w:r>
      <w:r>
        <w:rPr>
          <w:rFonts w:hint="eastAsia" w:ascii="宋体" w:cs="宋体"/>
          <w:kern w:val="0"/>
          <w:szCs w:val="21"/>
          <w:highlight w:val="none"/>
        </w:rPr>
        <w:t>年度）任意一个季度依法缴纳税收的相关证明材料扫描件（国家、地方工商管理部门或其他相关管理部门对税收缴纳（如免缴等）有特别政策的，必须提供相关政策文件扫描件以及参选单位满足相关政策文件的证明文件）。</w:t>
      </w:r>
    </w:p>
    <w:p>
      <w:pPr>
        <w:autoSpaceDE w:val="0"/>
        <w:autoSpaceDN w:val="0"/>
        <w:adjustRightInd w:val="0"/>
        <w:spacing w:line="360" w:lineRule="auto"/>
        <w:ind w:firstLine="420" w:firstLineChars="200"/>
        <w:jc w:val="left"/>
        <w:rPr>
          <w:rFonts w:ascii="宋体" w:hAnsi="宋体" w:cs="宋体"/>
          <w:szCs w:val="21"/>
          <w:highlight w:val="none"/>
        </w:rPr>
      </w:pPr>
      <w:r>
        <w:rPr>
          <w:rFonts w:ascii="宋体" w:cs="宋体"/>
          <w:kern w:val="0"/>
          <w:szCs w:val="21"/>
          <w:highlight w:val="none"/>
        </w:rPr>
        <w:t>3</w:t>
      </w:r>
      <w:r>
        <w:rPr>
          <w:rFonts w:hint="eastAsia" w:ascii="宋体" w:cs="宋体"/>
          <w:kern w:val="0"/>
          <w:szCs w:val="21"/>
          <w:highlight w:val="none"/>
        </w:rPr>
        <w:t>.缴纳</w:t>
      </w:r>
      <w:r>
        <w:rPr>
          <w:rFonts w:ascii="宋体" w:cs="宋体"/>
          <w:kern w:val="0"/>
          <w:szCs w:val="21"/>
          <w:highlight w:val="none"/>
        </w:rPr>
        <w:t>2023</w:t>
      </w:r>
      <w:r>
        <w:rPr>
          <w:rFonts w:hint="eastAsia" w:ascii="宋体" w:cs="宋体"/>
          <w:kern w:val="0"/>
          <w:szCs w:val="21"/>
          <w:highlight w:val="none"/>
        </w:rPr>
        <w:t>年（或</w:t>
      </w:r>
      <w:r>
        <w:rPr>
          <w:rFonts w:ascii="宋体" w:cs="宋体"/>
          <w:kern w:val="0"/>
          <w:szCs w:val="21"/>
          <w:highlight w:val="none"/>
        </w:rPr>
        <w:t>2024</w:t>
      </w:r>
      <w:r>
        <w:rPr>
          <w:rFonts w:hint="eastAsia" w:ascii="宋体" w:cs="宋体"/>
          <w:kern w:val="0"/>
          <w:szCs w:val="21"/>
          <w:highlight w:val="none"/>
        </w:rPr>
        <w:t>年度）任意一个季度社会保障资金的相关证明材料（国家、地方工商管理部门或其他相关管理部门对社保资金缴纳（如免缴等）有特别政策的，必须提供相关政策文件扫描件以及参选单位满足相关政策文件的证明文件。如为事业单位未办理社保的需提供相关证明）。</w:t>
      </w:r>
    </w:p>
    <w:p>
      <w:pPr>
        <w:widowControl/>
        <w:spacing w:line="360" w:lineRule="auto"/>
        <w:ind w:firstLine="420" w:firstLineChars="200"/>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jc w:val="center"/>
        <w:rPr>
          <w:rFonts w:ascii="宋体" w:hAnsi="宋体" w:cs="宋体"/>
          <w:sz w:val="24"/>
          <w:highlight w:val="none"/>
        </w:rPr>
      </w:pPr>
      <w:r>
        <w:rPr>
          <w:rFonts w:hint="eastAsia" w:ascii="宋体" w:hAnsi="宋体" w:cs="宋体"/>
          <w:sz w:val="24"/>
          <w:highlight w:val="none"/>
        </w:rPr>
        <w:t>（三）参加采购活动前</w:t>
      </w:r>
      <w:r>
        <w:rPr>
          <w:rFonts w:ascii="宋体" w:hAnsi="宋体" w:cs="宋体"/>
          <w:sz w:val="24"/>
          <w:highlight w:val="none"/>
        </w:rPr>
        <w:t>3</w:t>
      </w:r>
      <w:r>
        <w:rPr>
          <w:rFonts w:hint="eastAsia" w:ascii="宋体" w:hAnsi="宋体" w:cs="宋体"/>
          <w:sz w:val="24"/>
          <w:highlight w:val="none"/>
        </w:rPr>
        <w:t>年内在经营活动中没有重大违法记录的书面声明</w:t>
      </w:r>
    </w:p>
    <w:p>
      <w:pPr>
        <w:autoSpaceDE w:val="0"/>
        <w:autoSpaceDN w:val="0"/>
        <w:adjustRightInd w:val="0"/>
        <w:spacing w:line="360" w:lineRule="auto"/>
        <w:ind w:firstLine="420" w:firstLineChars="200"/>
        <w:jc w:val="left"/>
        <w:rPr>
          <w:rFonts w:ascii="宋体" w:cs="宋体"/>
          <w:kern w:val="0"/>
          <w:szCs w:val="21"/>
          <w:highlight w:val="none"/>
        </w:rPr>
      </w:pPr>
    </w:p>
    <w:p>
      <w:pPr>
        <w:autoSpaceDE w:val="0"/>
        <w:autoSpaceDN w:val="0"/>
        <w:adjustRightInd w:val="0"/>
        <w:spacing w:line="360" w:lineRule="auto"/>
        <w:ind w:firstLine="420" w:firstLineChars="200"/>
        <w:jc w:val="left"/>
        <w:rPr>
          <w:rFonts w:ascii="宋体" w:cs="宋体"/>
          <w:kern w:val="0"/>
          <w:szCs w:val="21"/>
          <w:highlight w:val="none"/>
        </w:rPr>
      </w:pPr>
      <w:r>
        <w:rPr>
          <w:rFonts w:hint="eastAsia" w:ascii="宋体" w:cs="宋体"/>
          <w:kern w:val="0"/>
          <w:szCs w:val="21"/>
          <w:highlight w:val="none"/>
        </w:rPr>
        <w:t>我公司（单位）郑重声明：我公司符合《中华人民共和国政府采购法》第二十二条规定的条件，且参加本次比选活动前</w:t>
      </w:r>
      <w:r>
        <w:rPr>
          <w:rFonts w:ascii="宋体" w:cs="宋体"/>
          <w:kern w:val="0"/>
          <w:szCs w:val="21"/>
          <w:highlight w:val="none"/>
        </w:rPr>
        <w:t>3</w:t>
      </w:r>
      <w:r>
        <w:rPr>
          <w:rFonts w:hint="eastAsia" w:ascii="宋体" w:cs="宋体"/>
          <w:kern w:val="0"/>
          <w:szCs w:val="21"/>
          <w:highlight w:val="none"/>
        </w:rPr>
        <w:t>年内，我公司在经营活动中没有因违法经营受到刑事处罚或者责令停产停业、吊销许可证或者执照、较大数额罚款等行政处罚。</w:t>
      </w:r>
    </w:p>
    <w:p>
      <w:pPr>
        <w:autoSpaceDE w:val="0"/>
        <w:autoSpaceDN w:val="0"/>
        <w:adjustRightInd w:val="0"/>
        <w:spacing w:line="360" w:lineRule="auto"/>
        <w:ind w:firstLine="420" w:firstLineChars="200"/>
        <w:jc w:val="left"/>
        <w:rPr>
          <w:rFonts w:ascii="宋体" w:cs="宋体"/>
          <w:kern w:val="0"/>
          <w:szCs w:val="21"/>
          <w:highlight w:val="none"/>
        </w:rPr>
      </w:pPr>
    </w:p>
    <w:p>
      <w:pPr>
        <w:autoSpaceDE w:val="0"/>
        <w:autoSpaceDN w:val="0"/>
        <w:adjustRightInd w:val="0"/>
        <w:spacing w:line="360" w:lineRule="auto"/>
        <w:ind w:firstLine="420" w:firstLineChars="200"/>
        <w:jc w:val="left"/>
        <w:rPr>
          <w:rFonts w:ascii="宋体" w:cs="宋体"/>
          <w:kern w:val="0"/>
          <w:szCs w:val="21"/>
          <w:highlight w:val="none"/>
        </w:rPr>
      </w:pPr>
    </w:p>
    <w:p>
      <w:pPr>
        <w:autoSpaceDE w:val="0"/>
        <w:autoSpaceDN w:val="0"/>
        <w:adjustRightInd w:val="0"/>
        <w:spacing w:line="360" w:lineRule="auto"/>
        <w:ind w:firstLine="420" w:firstLineChars="200"/>
        <w:jc w:val="right"/>
        <w:rPr>
          <w:rFonts w:ascii="宋体" w:cs="宋体"/>
          <w:kern w:val="0"/>
          <w:szCs w:val="21"/>
          <w:highlight w:val="none"/>
        </w:rPr>
      </w:pPr>
      <w:r>
        <w:rPr>
          <w:rFonts w:hint="eastAsia" w:ascii="宋体" w:cs="宋体"/>
          <w:kern w:val="0"/>
          <w:szCs w:val="21"/>
          <w:highlight w:val="none"/>
        </w:rPr>
        <w:t>参选单位：_______________</w:t>
      </w:r>
      <w:r>
        <w:rPr>
          <w:rFonts w:ascii="宋体" w:cs="宋体"/>
          <w:kern w:val="0"/>
          <w:szCs w:val="21"/>
          <w:highlight w:val="none"/>
        </w:rPr>
        <w:t xml:space="preserve"> </w:t>
      </w:r>
      <w:r>
        <w:rPr>
          <w:rFonts w:hint="eastAsia" w:ascii="宋体" w:cs="宋体"/>
          <w:kern w:val="0"/>
          <w:szCs w:val="21"/>
          <w:highlight w:val="none"/>
        </w:rPr>
        <w:t>（盖单位公章）</w:t>
      </w:r>
    </w:p>
    <w:p>
      <w:pPr>
        <w:wordWrap w:val="0"/>
        <w:autoSpaceDE w:val="0"/>
        <w:autoSpaceDN w:val="0"/>
        <w:adjustRightInd w:val="0"/>
        <w:spacing w:line="360" w:lineRule="auto"/>
        <w:ind w:firstLine="420" w:firstLineChars="200"/>
        <w:jc w:val="right"/>
        <w:rPr>
          <w:rFonts w:ascii="宋体" w:cs="宋体"/>
          <w:kern w:val="0"/>
          <w:szCs w:val="21"/>
          <w:highlight w:val="none"/>
        </w:rPr>
      </w:pPr>
      <w:r>
        <w:rPr>
          <w:rFonts w:hint="eastAsia" w:ascii="宋体" w:cs="宋体"/>
          <w:kern w:val="0"/>
          <w:szCs w:val="21"/>
          <w:highlight w:val="none"/>
        </w:rPr>
        <w:t>法定代表人或委托代理人：_________</w:t>
      </w:r>
      <w:r>
        <w:rPr>
          <w:rFonts w:ascii="宋体" w:cs="宋体"/>
          <w:kern w:val="0"/>
          <w:szCs w:val="21"/>
          <w:highlight w:val="none"/>
        </w:rPr>
        <w:t xml:space="preserve">  </w:t>
      </w:r>
      <w:r>
        <w:rPr>
          <w:rFonts w:hint="eastAsia" w:ascii="宋体" w:cs="宋体"/>
          <w:kern w:val="0"/>
          <w:szCs w:val="21"/>
          <w:highlight w:val="none"/>
        </w:rPr>
        <w:t xml:space="preserve">（签名）      </w:t>
      </w:r>
    </w:p>
    <w:p>
      <w:pPr>
        <w:wordWrap w:val="0"/>
        <w:autoSpaceDE w:val="0"/>
        <w:autoSpaceDN w:val="0"/>
        <w:adjustRightInd w:val="0"/>
        <w:spacing w:line="360" w:lineRule="auto"/>
        <w:ind w:firstLine="420" w:firstLineChars="200"/>
        <w:jc w:val="right"/>
        <w:rPr>
          <w:rFonts w:ascii="宋体" w:cs="宋体"/>
          <w:kern w:val="0"/>
          <w:szCs w:val="21"/>
          <w:highlight w:val="none"/>
        </w:rPr>
        <w:sectPr>
          <w:pgSz w:w="11906" w:h="16838"/>
          <w:pgMar w:top="1440" w:right="1080" w:bottom="1440" w:left="1080" w:header="851" w:footer="992" w:gutter="0"/>
          <w:cols w:space="720" w:num="1"/>
          <w:docGrid w:type="linesAndChars" w:linePitch="312" w:charSpace="0"/>
        </w:sectPr>
      </w:pPr>
      <w:r>
        <w:rPr>
          <w:rFonts w:hint="eastAsia" w:ascii="宋体" w:cs="宋体"/>
          <w:kern w:val="0"/>
          <w:szCs w:val="21"/>
          <w:highlight w:val="none"/>
        </w:rPr>
        <w:t xml:space="preserve">年     月    日   </w:t>
      </w:r>
    </w:p>
    <w:p>
      <w:pPr>
        <w:jc w:val="center"/>
        <w:rPr>
          <w:rFonts w:ascii="宋体" w:hAnsi="宋体" w:cs="宋体"/>
          <w:sz w:val="24"/>
          <w:highlight w:val="none"/>
        </w:rPr>
      </w:pPr>
      <w:r>
        <w:rPr>
          <w:rFonts w:hint="eastAsia" w:ascii="宋体" w:hAnsi="宋体" w:cs="宋体"/>
          <w:sz w:val="24"/>
          <w:highlight w:val="none"/>
        </w:rPr>
        <w:t xml:space="preserve">（四）近年发生的诉讼及仲裁情况 </w:t>
      </w:r>
    </w:p>
    <w:p>
      <w:pPr>
        <w:rPr>
          <w:rFonts w:ascii="宋体" w:hAnsi="宋体" w:cs="宋体"/>
          <w:highlight w:val="none"/>
        </w:rPr>
      </w:pPr>
    </w:p>
    <w:p>
      <w:pPr>
        <w:spacing w:line="440" w:lineRule="exact"/>
        <w:ind w:left="632" w:hanging="630" w:hangingChars="300"/>
        <w:rPr>
          <w:rFonts w:ascii="宋体" w:hAnsi="宋体" w:cs="宋体"/>
          <w:szCs w:val="21"/>
          <w:highlight w:val="none"/>
        </w:rPr>
      </w:pPr>
      <w:r>
        <w:rPr>
          <w:rFonts w:hint="eastAsia" w:ascii="宋体" w:hAnsi="宋体" w:cs="宋体"/>
          <w:b/>
          <w:szCs w:val="21"/>
          <w:highlight w:val="none"/>
        </w:rPr>
        <w:t>说明：</w:t>
      </w:r>
      <w:r>
        <w:rPr>
          <w:rFonts w:hint="eastAsia" w:ascii="宋体" w:hAnsi="宋体" w:cs="宋体"/>
          <w:szCs w:val="21"/>
          <w:highlight w:val="none"/>
        </w:rPr>
        <w:t>近年发生的诉讼和仲裁情况仅限于参选单位败诉的，且与履行施工承包合同有关的案件，不包括调解结案以及未裁决的仲裁或未终审判决的诉讼。</w:t>
      </w:r>
    </w:p>
    <w:p>
      <w:pPr>
        <w:spacing w:line="440" w:lineRule="exact"/>
        <w:ind w:left="630" w:hanging="630" w:hangingChars="300"/>
        <w:rPr>
          <w:rFonts w:ascii="宋体" w:hAnsi="宋体" w:cs="宋体"/>
          <w:szCs w:val="21"/>
          <w:highlight w:val="none"/>
        </w:rPr>
      </w:pPr>
    </w:p>
    <w:p>
      <w:pPr>
        <w:spacing w:before="156" w:beforeLines="50" w:after="156" w:afterLines="50" w:line="440" w:lineRule="exact"/>
        <w:ind w:left="632" w:hanging="630" w:hangingChars="300"/>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针对上述情况，提供由企业法定代表人或其授权委托人签字或盖章并加盖单位公章的承诺书。</w:t>
      </w:r>
    </w:p>
    <w:p>
      <w:pPr>
        <w:widowControl/>
        <w:spacing w:line="360" w:lineRule="auto"/>
        <w:ind w:firstLine="420" w:firstLineChars="200"/>
        <w:jc w:val="left"/>
        <w:rPr>
          <w:rFonts w:ascii="宋体" w:hAnsi="宋体" w:cs="宋体"/>
          <w:szCs w:val="21"/>
          <w:highlight w:val="none"/>
        </w:rPr>
      </w:pPr>
    </w:p>
    <w:p>
      <w:pPr>
        <w:widowControl/>
        <w:spacing w:line="360" w:lineRule="auto"/>
        <w:ind w:firstLine="420" w:firstLineChars="200"/>
        <w:jc w:val="left"/>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p>
    <w:p>
      <w:pPr>
        <w:spacing w:line="480" w:lineRule="auto"/>
        <w:ind w:firstLine="480" w:firstLineChars="200"/>
        <w:rPr>
          <w:rFonts w:ascii="宋体" w:hAnsi="宋体" w:cs="宋体"/>
          <w:sz w:val="24"/>
          <w:highlight w:val="none"/>
        </w:rPr>
      </w:pPr>
      <w:r>
        <w:rPr>
          <w:rFonts w:hint="eastAsia" w:ascii="宋体" w:hAnsi="宋体" w:cs="宋体"/>
          <w:sz w:val="24"/>
          <w:highlight w:val="none"/>
        </w:rPr>
        <w:t>八、近年完成或正在开展的类似项目情况表</w:t>
      </w:r>
    </w:p>
    <w:p>
      <w:pPr>
        <w:spacing w:line="480" w:lineRule="auto"/>
        <w:ind w:firstLine="480" w:firstLineChars="200"/>
        <w:rPr>
          <w:rFonts w:ascii="宋体" w:hAnsi="宋体" w:cs="宋体"/>
          <w:sz w:val="24"/>
          <w:highlight w:val="none"/>
        </w:rPr>
      </w:pPr>
    </w:p>
    <w:p>
      <w:pPr>
        <w:autoSpaceDE w:val="0"/>
        <w:autoSpaceDN w:val="0"/>
        <w:adjustRightInd w:val="0"/>
        <w:spacing w:line="360" w:lineRule="auto"/>
        <w:ind w:firstLine="420" w:firstLineChars="200"/>
        <w:jc w:val="left"/>
        <w:rPr>
          <w:rFonts w:ascii="宋体" w:cs="宋体"/>
          <w:kern w:val="0"/>
          <w:szCs w:val="21"/>
          <w:highlight w:val="none"/>
        </w:rPr>
      </w:pPr>
      <w:r>
        <w:rPr>
          <w:rFonts w:hint="eastAsia" w:ascii="宋体" w:cs="宋体"/>
          <w:kern w:val="0"/>
          <w:szCs w:val="21"/>
          <w:highlight w:val="none"/>
        </w:rPr>
        <w:t>我公司（单位）承诺：比选文件中所提供的业绩均真实有效，业绩合同中所有服务均已完成且已全部通过相关部门验收或正在开展，若有异议，我公司（单位）承诺可就以下业绩信息提供</w:t>
      </w:r>
      <w:r>
        <w:rPr>
          <w:rFonts w:ascii="宋体" w:cs="宋体"/>
          <w:kern w:val="0"/>
          <w:szCs w:val="21"/>
          <w:highlight w:val="none"/>
        </w:rPr>
        <w:t>（</w:t>
      </w:r>
      <w:r>
        <w:rPr>
          <w:rFonts w:hint="eastAsia" w:ascii="宋体" w:cs="宋体"/>
          <w:kern w:val="0"/>
          <w:szCs w:val="21"/>
          <w:highlight w:val="none"/>
        </w:rPr>
        <w:t>合同、对应的发票、验收报告或用户评价意见</w:t>
      </w:r>
      <w:r>
        <w:rPr>
          <w:rFonts w:ascii="宋体" w:cs="宋体"/>
          <w:kern w:val="0"/>
          <w:szCs w:val="21"/>
          <w:highlight w:val="none"/>
        </w:rPr>
        <w:t>）</w:t>
      </w:r>
      <w:r>
        <w:rPr>
          <w:rFonts w:hint="eastAsia" w:ascii="宋体" w:cs="宋体"/>
          <w:kern w:val="0"/>
          <w:szCs w:val="21"/>
          <w:highlight w:val="none"/>
        </w:rPr>
        <w:t>原件供贵单位核对。若被发现存在任何虚假、隐瞒情况，我公司（单位）承担由此产生的一切后果。</w:t>
      </w:r>
    </w:p>
    <w:p>
      <w:pPr>
        <w:autoSpaceDE w:val="0"/>
        <w:autoSpaceDN w:val="0"/>
        <w:adjustRightInd w:val="0"/>
        <w:spacing w:line="360" w:lineRule="auto"/>
        <w:ind w:firstLine="420" w:firstLineChars="200"/>
        <w:jc w:val="left"/>
        <w:rPr>
          <w:rFonts w:ascii="宋体" w:cs="宋体"/>
          <w:kern w:val="0"/>
          <w:szCs w:val="21"/>
          <w:highlight w:val="none"/>
        </w:rPr>
      </w:pPr>
    </w:p>
    <w:p>
      <w:pPr>
        <w:autoSpaceDE w:val="0"/>
        <w:autoSpaceDN w:val="0"/>
        <w:adjustRightInd w:val="0"/>
        <w:spacing w:line="360" w:lineRule="auto"/>
        <w:jc w:val="right"/>
        <w:rPr>
          <w:rFonts w:ascii="宋体" w:cs="宋体"/>
          <w:kern w:val="0"/>
          <w:szCs w:val="21"/>
          <w:highlight w:val="none"/>
        </w:rPr>
      </w:pPr>
      <w:r>
        <w:rPr>
          <w:rFonts w:hint="eastAsia" w:ascii="宋体" w:cs="宋体"/>
          <w:kern w:val="0"/>
          <w:szCs w:val="21"/>
          <w:highlight w:val="none"/>
        </w:rPr>
        <w:t>参选单位：_________________</w:t>
      </w:r>
      <w:r>
        <w:rPr>
          <w:rFonts w:ascii="宋体" w:cs="宋体"/>
          <w:kern w:val="0"/>
          <w:szCs w:val="21"/>
          <w:highlight w:val="none"/>
        </w:rPr>
        <w:t xml:space="preserve"> </w:t>
      </w:r>
      <w:r>
        <w:rPr>
          <w:rFonts w:hint="eastAsia" w:ascii="宋体" w:cs="宋体"/>
          <w:kern w:val="0"/>
          <w:szCs w:val="21"/>
          <w:highlight w:val="none"/>
        </w:rPr>
        <w:t>（盖单位章）</w:t>
      </w:r>
    </w:p>
    <w:p>
      <w:pPr>
        <w:ind w:firstLine="420" w:firstLineChars="200"/>
        <w:jc w:val="right"/>
        <w:rPr>
          <w:rFonts w:ascii="宋体" w:cs="宋体"/>
          <w:kern w:val="0"/>
          <w:szCs w:val="21"/>
          <w:highlight w:val="none"/>
        </w:rPr>
      </w:pPr>
      <w:r>
        <w:rPr>
          <w:rFonts w:hint="eastAsia" w:ascii="宋体" w:cs="宋体"/>
          <w:kern w:val="0"/>
          <w:szCs w:val="21"/>
          <w:highlight w:val="none"/>
        </w:rPr>
        <w:t>年      月     日</w:t>
      </w:r>
    </w:p>
    <w:p>
      <w:pPr>
        <w:ind w:firstLine="420" w:firstLineChars="200"/>
        <w:jc w:val="right"/>
        <w:rPr>
          <w:rFonts w:ascii="宋体" w:cs="宋体"/>
          <w:kern w:val="0"/>
          <w:szCs w:val="21"/>
          <w:highlight w:val="none"/>
        </w:rPr>
      </w:pPr>
    </w:p>
    <w:p>
      <w:pPr>
        <w:ind w:firstLine="420" w:firstLineChars="200"/>
        <w:jc w:val="right"/>
        <w:rPr>
          <w:rFonts w:ascii="宋体" w:cs="宋体"/>
          <w:kern w:val="0"/>
          <w:szCs w:val="21"/>
          <w:highlight w:val="none"/>
        </w:rPr>
      </w:pPr>
    </w:p>
    <w:p>
      <w:pPr>
        <w:ind w:firstLine="480" w:firstLineChars="200"/>
        <w:jc w:val="right"/>
        <w:rPr>
          <w:rFonts w:ascii="宋体" w:cs="宋体"/>
          <w:kern w:val="0"/>
          <w:sz w:val="24"/>
          <w:highlight w:val="none"/>
        </w:rPr>
      </w:pPr>
    </w:p>
    <w:p>
      <w:pPr>
        <w:ind w:firstLine="480" w:firstLineChars="200"/>
        <w:jc w:val="right"/>
        <w:rPr>
          <w:rFonts w:ascii="宋体" w:cs="宋体"/>
          <w:kern w:val="0"/>
          <w:sz w:val="24"/>
          <w:highlight w:val="none"/>
        </w:rPr>
      </w:pPr>
    </w:p>
    <w:tbl>
      <w:tblPr>
        <w:tblStyle w:val="32"/>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231"/>
        <w:gridCol w:w="1891"/>
        <w:gridCol w:w="1489"/>
        <w:gridCol w:w="1537"/>
        <w:gridCol w:w="1535"/>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exact"/>
        </w:trPr>
        <w:tc>
          <w:tcPr>
            <w:tcW w:w="618"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序号</w:t>
            </w:r>
          </w:p>
        </w:tc>
        <w:tc>
          <w:tcPr>
            <w:tcW w:w="1231"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合同签</w:t>
            </w:r>
          </w:p>
          <w:p>
            <w:pPr>
              <w:pStyle w:val="14"/>
              <w:kinsoku w:val="0"/>
              <w:overflowPunct w:val="0"/>
              <w:spacing w:after="0"/>
              <w:jc w:val="center"/>
              <w:rPr>
                <w:rFonts w:ascii="仿宋_GB2312" w:eastAsia="仿宋_GB2312"/>
                <w:highlight w:val="none"/>
              </w:rPr>
            </w:pPr>
            <w:r>
              <w:rPr>
                <w:rFonts w:hint="eastAsia" w:ascii="仿宋_GB2312" w:eastAsia="仿宋_GB2312"/>
                <w:highlight w:val="none"/>
              </w:rPr>
              <w:t>订时间</w:t>
            </w:r>
          </w:p>
        </w:tc>
        <w:tc>
          <w:tcPr>
            <w:tcW w:w="1891"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项目名称</w:t>
            </w:r>
          </w:p>
        </w:tc>
        <w:tc>
          <w:tcPr>
            <w:tcW w:w="1489"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工作内容</w:t>
            </w:r>
          </w:p>
        </w:tc>
        <w:tc>
          <w:tcPr>
            <w:tcW w:w="1537"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项目负责人</w:t>
            </w:r>
          </w:p>
        </w:tc>
        <w:tc>
          <w:tcPr>
            <w:tcW w:w="1535"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合同</w:t>
            </w:r>
          </w:p>
          <w:p>
            <w:pPr>
              <w:pStyle w:val="14"/>
              <w:kinsoku w:val="0"/>
              <w:overflowPunct w:val="0"/>
              <w:spacing w:after="0"/>
              <w:jc w:val="center"/>
              <w:rPr>
                <w:rFonts w:ascii="仿宋_GB2312" w:eastAsia="仿宋_GB2312"/>
                <w:highlight w:val="none"/>
              </w:rPr>
            </w:pPr>
            <w:r>
              <w:rPr>
                <w:rFonts w:hint="eastAsia" w:ascii="仿宋_GB2312" w:eastAsia="仿宋_GB2312"/>
                <w:highlight w:val="none"/>
              </w:rPr>
              <w:t>总金额</w:t>
            </w:r>
          </w:p>
        </w:tc>
        <w:tc>
          <w:tcPr>
            <w:tcW w:w="1535" w:type="dxa"/>
            <w:vAlign w:val="center"/>
          </w:tcPr>
          <w:p>
            <w:pPr>
              <w:pStyle w:val="14"/>
              <w:kinsoku w:val="0"/>
              <w:overflowPunct w:val="0"/>
              <w:spacing w:after="0"/>
              <w:jc w:val="center"/>
              <w:rPr>
                <w:rFonts w:ascii="仿宋_GB2312" w:eastAsia="仿宋_GB2312"/>
                <w:highlight w:val="none"/>
              </w:rPr>
            </w:pPr>
            <w:r>
              <w:rPr>
                <w:rFonts w:hint="eastAsia" w:ascii="仿宋_GB2312" w:eastAsia="仿宋_GB2312"/>
                <w:highlight w:val="none"/>
              </w:rPr>
              <w:t>委托单位</w:t>
            </w:r>
          </w:p>
          <w:p>
            <w:pPr>
              <w:pStyle w:val="14"/>
              <w:kinsoku w:val="0"/>
              <w:overflowPunct w:val="0"/>
              <w:spacing w:after="0"/>
              <w:jc w:val="center"/>
              <w:rPr>
                <w:rFonts w:ascii="仿宋_GB2312" w:eastAsia="仿宋_GB2312"/>
                <w:highlight w:val="none"/>
              </w:rPr>
            </w:pPr>
            <w:r>
              <w:rPr>
                <w:rFonts w:hint="eastAsia" w:ascii="仿宋_GB2312" w:eastAsia="仿宋_GB2312"/>
                <w:highlight w:val="non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exact"/>
        </w:trPr>
        <w:tc>
          <w:tcPr>
            <w:tcW w:w="618" w:type="dxa"/>
            <w:vAlign w:val="center"/>
          </w:tcPr>
          <w:p>
            <w:pPr>
              <w:pStyle w:val="14"/>
              <w:kinsoku w:val="0"/>
              <w:overflowPunct w:val="0"/>
              <w:spacing w:after="0"/>
              <w:jc w:val="center"/>
              <w:rPr>
                <w:rFonts w:ascii="仿宋_GB2312" w:eastAsia="仿宋_GB2312"/>
                <w:b/>
                <w:bCs/>
                <w:highlight w:val="none"/>
              </w:rPr>
            </w:pPr>
            <w:r>
              <w:rPr>
                <w:rFonts w:hint="eastAsia" w:ascii="仿宋_GB2312" w:eastAsia="仿宋_GB2312"/>
                <w:highlight w:val="none"/>
              </w:rPr>
              <w:t>1</w:t>
            </w:r>
          </w:p>
        </w:tc>
        <w:tc>
          <w:tcPr>
            <w:tcW w:w="1231" w:type="dxa"/>
            <w:vAlign w:val="center"/>
          </w:tcPr>
          <w:p>
            <w:pPr>
              <w:pStyle w:val="14"/>
              <w:kinsoku w:val="0"/>
              <w:overflowPunct w:val="0"/>
              <w:spacing w:after="0"/>
              <w:jc w:val="center"/>
              <w:rPr>
                <w:rFonts w:ascii="仿宋_GB2312" w:eastAsia="仿宋_GB2312"/>
                <w:b/>
                <w:bCs/>
                <w:highlight w:val="none"/>
              </w:rPr>
            </w:pPr>
          </w:p>
        </w:tc>
        <w:tc>
          <w:tcPr>
            <w:tcW w:w="1891" w:type="dxa"/>
            <w:vAlign w:val="center"/>
          </w:tcPr>
          <w:p>
            <w:pPr>
              <w:pStyle w:val="14"/>
              <w:spacing w:after="0"/>
              <w:jc w:val="center"/>
              <w:rPr>
                <w:rFonts w:ascii="仿宋_GB2312" w:eastAsia="仿宋_GB2312"/>
                <w:highlight w:val="none"/>
              </w:rPr>
            </w:pPr>
          </w:p>
        </w:tc>
        <w:tc>
          <w:tcPr>
            <w:tcW w:w="1489" w:type="dxa"/>
            <w:vAlign w:val="center"/>
          </w:tcPr>
          <w:p>
            <w:pPr>
              <w:jc w:val="center"/>
              <w:rPr>
                <w:rFonts w:ascii="仿宋_GB2312" w:eastAsia="仿宋_GB2312"/>
                <w:highlight w:val="none"/>
              </w:rPr>
            </w:pPr>
          </w:p>
        </w:tc>
        <w:tc>
          <w:tcPr>
            <w:tcW w:w="1537" w:type="dxa"/>
            <w:vAlign w:val="center"/>
          </w:tcPr>
          <w:p>
            <w:pPr>
              <w:jc w:val="center"/>
              <w:rPr>
                <w:rFonts w:ascii="仿宋_GB2312" w:eastAsia="仿宋_GB2312"/>
                <w:highlight w:val="none"/>
              </w:rPr>
            </w:pPr>
          </w:p>
        </w:tc>
        <w:tc>
          <w:tcPr>
            <w:tcW w:w="1535" w:type="dxa"/>
          </w:tcPr>
          <w:p>
            <w:pPr>
              <w:jc w:val="center"/>
              <w:rPr>
                <w:rFonts w:ascii="仿宋_GB2312" w:eastAsia="仿宋_GB2312"/>
                <w:highlight w:val="none"/>
              </w:rPr>
            </w:pPr>
          </w:p>
        </w:tc>
        <w:tc>
          <w:tcPr>
            <w:tcW w:w="1535" w:type="dxa"/>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trPr>
        <w:tc>
          <w:tcPr>
            <w:tcW w:w="618" w:type="dxa"/>
            <w:vAlign w:val="center"/>
          </w:tcPr>
          <w:p>
            <w:pPr>
              <w:pStyle w:val="14"/>
              <w:kinsoku w:val="0"/>
              <w:overflowPunct w:val="0"/>
              <w:spacing w:after="0"/>
              <w:jc w:val="center"/>
              <w:rPr>
                <w:rFonts w:ascii="仿宋_GB2312" w:eastAsia="仿宋_GB2312"/>
                <w:b/>
                <w:bCs/>
                <w:highlight w:val="none"/>
              </w:rPr>
            </w:pPr>
            <w:r>
              <w:rPr>
                <w:rFonts w:hint="eastAsia" w:ascii="仿宋_GB2312" w:eastAsia="仿宋_GB2312"/>
                <w:highlight w:val="none"/>
              </w:rPr>
              <w:t>2</w:t>
            </w:r>
          </w:p>
        </w:tc>
        <w:tc>
          <w:tcPr>
            <w:tcW w:w="1231" w:type="dxa"/>
            <w:vAlign w:val="center"/>
          </w:tcPr>
          <w:p>
            <w:pPr>
              <w:pStyle w:val="14"/>
              <w:kinsoku w:val="0"/>
              <w:overflowPunct w:val="0"/>
              <w:spacing w:after="0"/>
              <w:jc w:val="center"/>
              <w:rPr>
                <w:rFonts w:ascii="仿宋_GB2312" w:eastAsia="仿宋_GB2312"/>
                <w:b/>
                <w:bCs/>
                <w:highlight w:val="none"/>
              </w:rPr>
            </w:pPr>
          </w:p>
        </w:tc>
        <w:tc>
          <w:tcPr>
            <w:tcW w:w="1891" w:type="dxa"/>
            <w:vAlign w:val="center"/>
          </w:tcPr>
          <w:p>
            <w:pPr>
              <w:pStyle w:val="14"/>
              <w:spacing w:after="0"/>
              <w:jc w:val="center"/>
              <w:rPr>
                <w:rFonts w:ascii="仿宋_GB2312" w:eastAsia="仿宋_GB2312"/>
                <w:highlight w:val="none"/>
              </w:rPr>
            </w:pPr>
          </w:p>
        </w:tc>
        <w:tc>
          <w:tcPr>
            <w:tcW w:w="1489" w:type="dxa"/>
            <w:vAlign w:val="center"/>
          </w:tcPr>
          <w:p>
            <w:pPr>
              <w:jc w:val="center"/>
              <w:rPr>
                <w:rFonts w:ascii="仿宋_GB2312" w:eastAsia="仿宋_GB2312"/>
                <w:highlight w:val="none"/>
              </w:rPr>
            </w:pPr>
          </w:p>
        </w:tc>
        <w:tc>
          <w:tcPr>
            <w:tcW w:w="1537" w:type="dxa"/>
            <w:vAlign w:val="center"/>
          </w:tcPr>
          <w:p>
            <w:pPr>
              <w:jc w:val="center"/>
              <w:rPr>
                <w:rFonts w:ascii="仿宋_GB2312" w:eastAsia="仿宋_GB2312"/>
                <w:highlight w:val="none"/>
              </w:rPr>
            </w:pPr>
          </w:p>
        </w:tc>
        <w:tc>
          <w:tcPr>
            <w:tcW w:w="1535" w:type="dxa"/>
          </w:tcPr>
          <w:p>
            <w:pPr>
              <w:jc w:val="center"/>
              <w:rPr>
                <w:rFonts w:ascii="仿宋_GB2312" w:eastAsia="仿宋_GB2312"/>
                <w:highlight w:val="none"/>
              </w:rPr>
            </w:pPr>
          </w:p>
        </w:tc>
        <w:tc>
          <w:tcPr>
            <w:tcW w:w="1535" w:type="dxa"/>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trPr>
        <w:tc>
          <w:tcPr>
            <w:tcW w:w="618" w:type="dxa"/>
            <w:vAlign w:val="center"/>
          </w:tcPr>
          <w:p>
            <w:pPr>
              <w:pStyle w:val="14"/>
              <w:kinsoku w:val="0"/>
              <w:overflowPunct w:val="0"/>
              <w:spacing w:after="0"/>
              <w:jc w:val="center"/>
              <w:rPr>
                <w:rFonts w:ascii="仿宋_GB2312" w:eastAsia="仿宋_GB2312"/>
                <w:b/>
                <w:bCs/>
                <w:highlight w:val="none"/>
              </w:rPr>
            </w:pPr>
            <w:r>
              <w:rPr>
                <w:rFonts w:hint="eastAsia" w:ascii="仿宋_GB2312" w:eastAsia="仿宋_GB2312"/>
                <w:highlight w:val="none"/>
              </w:rPr>
              <w:t>3</w:t>
            </w:r>
          </w:p>
        </w:tc>
        <w:tc>
          <w:tcPr>
            <w:tcW w:w="1231" w:type="dxa"/>
            <w:vAlign w:val="center"/>
          </w:tcPr>
          <w:p>
            <w:pPr>
              <w:pStyle w:val="14"/>
              <w:kinsoku w:val="0"/>
              <w:overflowPunct w:val="0"/>
              <w:spacing w:after="0"/>
              <w:jc w:val="center"/>
              <w:rPr>
                <w:rFonts w:ascii="仿宋_GB2312" w:eastAsia="仿宋_GB2312"/>
                <w:b/>
                <w:bCs/>
                <w:highlight w:val="none"/>
              </w:rPr>
            </w:pPr>
          </w:p>
        </w:tc>
        <w:tc>
          <w:tcPr>
            <w:tcW w:w="1891" w:type="dxa"/>
            <w:vAlign w:val="center"/>
          </w:tcPr>
          <w:p>
            <w:pPr>
              <w:pStyle w:val="14"/>
              <w:spacing w:after="0"/>
              <w:jc w:val="center"/>
              <w:rPr>
                <w:rFonts w:ascii="仿宋_GB2312" w:eastAsia="仿宋_GB2312"/>
                <w:highlight w:val="none"/>
              </w:rPr>
            </w:pPr>
          </w:p>
        </w:tc>
        <w:tc>
          <w:tcPr>
            <w:tcW w:w="1489" w:type="dxa"/>
            <w:vAlign w:val="center"/>
          </w:tcPr>
          <w:p>
            <w:pPr>
              <w:jc w:val="center"/>
              <w:rPr>
                <w:rFonts w:ascii="仿宋_GB2312" w:eastAsia="仿宋_GB2312"/>
                <w:highlight w:val="none"/>
              </w:rPr>
            </w:pPr>
          </w:p>
        </w:tc>
        <w:tc>
          <w:tcPr>
            <w:tcW w:w="1537" w:type="dxa"/>
            <w:vAlign w:val="center"/>
          </w:tcPr>
          <w:p>
            <w:pPr>
              <w:jc w:val="center"/>
              <w:rPr>
                <w:rFonts w:ascii="仿宋_GB2312" w:eastAsia="仿宋_GB2312"/>
                <w:highlight w:val="none"/>
              </w:rPr>
            </w:pPr>
          </w:p>
        </w:tc>
        <w:tc>
          <w:tcPr>
            <w:tcW w:w="1535" w:type="dxa"/>
          </w:tcPr>
          <w:p>
            <w:pPr>
              <w:jc w:val="center"/>
              <w:rPr>
                <w:rFonts w:ascii="仿宋_GB2312" w:eastAsia="仿宋_GB2312"/>
                <w:highlight w:val="none"/>
              </w:rPr>
            </w:pPr>
          </w:p>
        </w:tc>
        <w:tc>
          <w:tcPr>
            <w:tcW w:w="1535" w:type="dxa"/>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trPr>
        <w:tc>
          <w:tcPr>
            <w:tcW w:w="618" w:type="dxa"/>
            <w:vAlign w:val="center"/>
          </w:tcPr>
          <w:p>
            <w:pPr>
              <w:pStyle w:val="14"/>
              <w:kinsoku w:val="0"/>
              <w:overflowPunct w:val="0"/>
              <w:spacing w:after="0"/>
              <w:jc w:val="center"/>
              <w:rPr>
                <w:rFonts w:ascii="仿宋_GB2312" w:eastAsia="仿宋_GB2312"/>
                <w:b/>
                <w:bCs/>
                <w:highlight w:val="none"/>
              </w:rPr>
            </w:pPr>
            <w:r>
              <w:rPr>
                <w:rFonts w:hint="eastAsia" w:ascii="仿宋_GB2312" w:eastAsia="仿宋_GB2312"/>
                <w:highlight w:val="none"/>
              </w:rPr>
              <w:t>4</w:t>
            </w:r>
          </w:p>
        </w:tc>
        <w:tc>
          <w:tcPr>
            <w:tcW w:w="1231" w:type="dxa"/>
            <w:vAlign w:val="center"/>
          </w:tcPr>
          <w:p>
            <w:pPr>
              <w:pStyle w:val="14"/>
              <w:kinsoku w:val="0"/>
              <w:overflowPunct w:val="0"/>
              <w:spacing w:after="0"/>
              <w:jc w:val="center"/>
              <w:rPr>
                <w:rFonts w:ascii="仿宋_GB2312" w:eastAsia="仿宋_GB2312"/>
                <w:b/>
                <w:bCs/>
                <w:highlight w:val="none"/>
              </w:rPr>
            </w:pPr>
          </w:p>
        </w:tc>
        <w:tc>
          <w:tcPr>
            <w:tcW w:w="1891" w:type="dxa"/>
            <w:vAlign w:val="center"/>
          </w:tcPr>
          <w:p>
            <w:pPr>
              <w:pStyle w:val="14"/>
              <w:spacing w:after="0"/>
              <w:jc w:val="center"/>
              <w:rPr>
                <w:rFonts w:ascii="仿宋_GB2312" w:eastAsia="仿宋_GB2312"/>
                <w:highlight w:val="none"/>
              </w:rPr>
            </w:pPr>
          </w:p>
        </w:tc>
        <w:tc>
          <w:tcPr>
            <w:tcW w:w="1489" w:type="dxa"/>
            <w:vAlign w:val="center"/>
          </w:tcPr>
          <w:p>
            <w:pPr>
              <w:jc w:val="center"/>
              <w:rPr>
                <w:rFonts w:ascii="仿宋_GB2312" w:eastAsia="仿宋_GB2312"/>
                <w:highlight w:val="none"/>
              </w:rPr>
            </w:pPr>
          </w:p>
        </w:tc>
        <w:tc>
          <w:tcPr>
            <w:tcW w:w="1537" w:type="dxa"/>
            <w:vAlign w:val="center"/>
          </w:tcPr>
          <w:p>
            <w:pPr>
              <w:jc w:val="center"/>
              <w:rPr>
                <w:rFonts w:ascii="仿宋_GB2312" w:eastAsia="仿宋_GB2312"/>
                <w:highlight w:val="none"/>
              </w:rPr>
            </w:pPr>
          </w:p>
        </w:tc>
        <w:tc>
          <w:tcPr>
            <w:tcW w:w="1535" w:type="dxa"/>
          </w:tcPr>
          <w:p>
            <w:pPr>
              <w:jc w:val="center"/>
              <w:rPr>
                <w:rFonts w:ascii="仿宋_GB2312" w:eastAsia="仿宋_GB2312"/>
                <w:highlight w:val="none"/>
              </w:rPr>
            </w:pPr>
          </w:p>
        </w:tc>
        <w:tc>
          <w:tcPr>
            <w:tcW w:w="1535" w:type="dxa"/>
          </w:tcPr>
          <w:p>
            <w:pPr>
              <w:jc w:val="center"/>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exact"/>
        </w:trPr>
        <w:tc>
          <w:tcPr>
            <w:tcW w:w="618" w:type="dxa"/>
            <w:vAlign w:val="center"/>
          </w:tcPr>
          <w:p>
            <w:pPr>
              <w:pStyle w:val="14"/>
              <w:kinsoku w:val="0"/>
              <w:overflowPunct w:val="0"/>
              <w:spacing w:after="0"/>
              <w:jc w:val="center"/>
              <w:rPr>
                <w:rFonts w:ascii="仿宋_GB2312" w:eastAsia="仿宋_GB2312"/>
                <w:b/>
                <w:bCs/>
                <w:highlight w:val="none"/>
              </w:rPr>
            </w:pPr>
            <w:r>
              <w:rPr>
                <w:rFonts w:hint="eastAsia" w:ascii="仿宋_GB2312" w:eastAsia="仿宋_GB2312"/>
                <w:highlight w:val="none"/>
              </w:rPr>
              <w:t>5</w:t>
            </w:r>
          </w:p>
          <w:p>
            <w:pPr>
              <w:pStyle w:val="14"/>
              <w:kinsoku w:val="0"/>
              <w:overflowPunct w:val="0"/>
              <w:spacing w:after="0"/>
              <w:jc w:val="center"/>
              <w:rPr>
                <w:rFonts w:ascii="仿宋_GB2312" w:eastAsia="仿宋_GB2312"/>
                <w:b/>
                <w:bCs/>
                <w:highlight w:val="none"/>
              </w:rPr>
            </w:pPr>
            <w:r>
              <w:rPr>
                <w:rFonts w:hint="eastAsia" w:ascii="仿宋_GB2312" w:eastAsia="仿宋_GB2312"/>
                <w:highlight w:val="none"/>
              </w:rPr>
              <w:t>……</w:t>
            </w:r>
          </w:p>
        </w:tc>
        <w:tc>
          <w:tcPr>
            <w:tcW w:w="1231" w:type="dxa"/>
            <w:vAlign w:val="center"/>
          </w:tcPr>
          <w:p>
            <w:pPr>
              <w:widowControl/>
              <w:jc w:val="center"/>
              <w:rPr>
                <w:rFonts w:ascii="仿宋_GB2312" w:eastAsia="仿宋_GB2312"/>
                <w:b/>
                <w:bCs/>
                <w:highlight w:val="none"/>
              </w:rPr>
            </w:pPr>
          </w:p>
          <w:p>
            <w:pPr>
              <w:pStyle w:val="14"/>
              <w:kinsoku w:val="0"/>
              <w:overflowPunct w:val="0"/>
              <w:spacing w:after="0"/>
              <w:jc w:val="center"/>
              <w:rPr>
                <w:rFonts w:ascii="仿宋_GB2312" w:eastAsia="仿宋_GB2312"/>
                <w:b/>
                <w:bCs/>
                <w:highlight w:val="none"/>
              </w:rPr>
            </w:pPr>
          </w:p>
        </w:tc>
        <w:tc>
          <w:tcPr>
            <w:tcW w:w="1891" w:type="dxa"/>
            <w:vAlign w:val="center"/>
          </w:tcPr>
          <w:p>
            <w:pPr>
              <w:pStyle w:val="14"/>
              <w:spacing w:after="0"/>
              <w:jc w:val="center"/>
              <w:rPr>
                <w:rFonts w:ascii="仿宋_GB2312" w:eastAsia="仿宋_GB2312"/>
                <w:highlight w:val="none"/>
              </w:rPr>
            </w:pPr>
          </w:p>
        </w:tc>
        <w:tc>
          <w:tcPr>
            <w:tcW w:w="1489" w:type="dxa"/>
            <w:vAlign w:val="center"/>
          </w:tcPr>
          <w:p>
            <w:pPr>
              <w:jc w:val="center"/>
              <w:rPr>
                <w:rFonts w:ascii="仿宋_GB2312" w:eastAsia="仿宋_GB2312"/>
                <w:highlight w:val="none"/>
              </w:rPr>
            </w:pPr>
          </w:p>
        </w:tc>
        <w:tc>
          <w:tcPr>
            <w:tcW w:w="1537" w:type="dxa"/>
            <w:vAlign w:val="center"/>
          </w:tcPr>
          <w:p>
            <w:pPr>
              <w:jc w:val="center"/>
              <w:rPr>
                <w:rFonts w:ascii="仿宋_GB2312" w:eastAsia="仿宋_GB2312"/>
                <w:highlight w:val="none"/>
              </w:rPr>
            </w:pPr>
          </w:p>
        </w:tc>
        <w:tc>
          <w:tcPr>
            <w:tcW w:w="1535" w:type="dxa"/>
          </w:tcPr>
          <w:p>
            <w:pPr>
              <w:jc w:val="center"/>
              <w:rPr>
                <w:rFonts w:ascii="仿宋_GB2312" w:eastAsia="仿宋_GB2312"/>
                <w:highlight w:val="none"/>
              </w:rPr>
            </w:pPr>
          </w:p>
        </w:tc>
        <w:tc>
          <w:tcPr>
            <w:tcW w:w="1535" w:type="dxa"/>
          </w:tcPr>
          <w:p>
            <w:pPr>
              <w:jc w:val="center"/>
              <w:rPr>
                <w:rFonts w:ascii="仿宋_GB2312" w:eastAsia="仿宋_GB2312"/>
                <w:highlight w:val="none"/>
              </w:rPr>
            </w:pPr>
          </w:p>
        </w:tc>
      </w:tr>
    </w:tbl>
    <w:p>
      <w:pPr>
        <w:ind w:firstLine="480" w:firstLineChars="200"/>
        <w:jc w:val="right"/>
        <w:rPr>
          <w:rFonts w:ascii="宋体" w:cs="宋体"/>
          <w:kern w:val="0"/>
          <w:sz w:val="24"/>
          <w:highlight w:val="none"/>
        </w:rPr>
      </w:pPr>
    </w:p>
    <w:p>
      <w:pPr>
        <w:pStyle w:val="14"/>
        <w:kinsoku w:val="0"/>
        <w:overflowPunct w:val="0"/>
        <w:spacing w:line="240" w:lineRule="exact"/>
        <w:ind w:left="39"/>
        <w:rPr>
          <w:b/>
          <w:bCs/>
          <w:highlight w:val="none"/>
        </w:rPr>
      </w:pPr>
      <w:r>
        <w:rPr>
          <w:rFonts w:hint="eastAsia"/>
          <w:highlight w:val="none"/>
        </w:rPr>
        <w:t>备注：</w:t>
      </w:r>
      <w:r>
        <w:rPr>
          <w:highlight w:val="none"/>
        </w:rPr>
        <w:t>1</w:t>
      </w:r>
      <w:r>
        <w:rPr>
          <w:rFonts w:hint="eastAsia"/>
          <w:highlight w:val="none"/>
        </w:rPr>
        <w:t>.表中所列业绩应为参选单位满足本比选文件要求的业绩；</w:t>
      </w:r>
    </w:p>
    <w:p>
      <w:pPr>
        <w:pStyle w:val="14"/>
        <w:kinsoku w:val="0"/>
        <w:overflowPunct w:val="0"/>
        <w:spacing w:line="280" w:lineRule="exact"/>
        <w:ind w:left="39" w:firstLine="630" w:firstLineChars="300"/>
        <w:rPr>
          <w:rFonts w:ascii="宋体" w:hAnsi="宋体" w:cs="宋体"/>
          <w:szCs w:val="21"/>
          <w:highlight w:val="none"/>
        </w:rPr>
        <w:sectPr>
          <w:pgSz w:w="11906" w:h="16838"/>
          <w:pgMar w:top="1440" w:right="1080" w:bottom="1440" w:left="1080" w:header="851" w:footer="992" w:gutter="0"/>
          <w:cols w:space="720" w:num="1"/>
          <w:docGrid w:type="linesAndChars" w:linePitch="312" w:charSpace="0"/>
        </w:sectPr>
      </w:pPr>
      <w:r>
        <w:rPr>
          <w:highlight w:val="none"/>
        </w:rPr>
        <w:t>2</w:t>
      </w:r>
      <w:r>
        <w:rPr>
          <w:rFonts w:hint="eastAsia"/>
          <w:highlight w:val="none"/>
        </w:rPr>
        <w:t>.提供相关材料扫描件。</w:t>
      </w:r>
    </w:p>
    <w:p>
      <w:pPr>
        <w:jc w:val="center"/>
        <w:rPr>
          <w:rFonts w:ascii="宋体" w:hAnsi="宋体" w:cs="宋体"/>
          <w:sz w:val="28"/>
          <w:highlight w:val="none"/>
        </w:rPr>
      </w:pPr>
      <w:r>
        <w:rPr>
          <w:rFonts w:hint="eastAsia" w:ascii="宋体" w:hAnsi="宋体" w:cs="宋体"/>
          <w:sz w:val="28"/>
          <w:highlight w:val="none"/>
        </w:rPr>
        <w:t>十、其他材料</w:t>
      </w:r>
    </w:p>
    <w:p>
      <w:pPr>
        <w:rPr>
          <w:rFonts w:ascii="宋体" w:hAnsi="宋体" w:cs="宋体"/>
          <w:highlight w:val="none"/>
        </w:rPr>
      </w:pPr>
    </w:p>
    <w:sectPr>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outside" w:y="1"/>
      <w:rPr>
        <w:rStyle w:val="35"/>
      </w:rPr>
    </w:pPr>
  </w:p>
  <w:p>
    <w:pPr>
      <w:pStyle w:val="2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outside" w:y="1"/>
      <w:rPr>
        <w:rStyle w:val="35"/>
      </w:rPr>
    </w:pPr>
    <w:r>
      <w:fldChar w:fldCharType="begin"/>
    </w:r>
    <w:r>
      <w:rPr>
        <w:rStyle w:val="35"/>
      </w:rPr>
      <w:instrText xml:space="preserve">PAGE  </w:instrText>
    </w:r>
    <w:r>
      <w:fldChar w:fldCharType="separate"/>
    </w:r>
    <w:r>
      <w:rPr>
        <w:rStyle w:val="35"/>
      </w:rPr>
      <w:t>5</w:t>
    </w:r>
    <w:r>
      <w:fldChar w:fldCharType="end"/>
    </w:r>
  </w:p>
  <w:p>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pb6vWDQIAAAQEAAAOAAAAAAAAAAEAIAAAAB8B&#10;AABkcnMvZTJvRG9jLnhtbFBLBQYAAAAABgAGAFkBAACe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3" name="文本框 307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07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DGXPgDQIAAAQEAAAOAAAAAAAAAAEAIAAAAB8B&#10;AABkcnMvZTJvRG9jLnhtbFBLBQYAAAAABgAGAFkBAACe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Style w:val="3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07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07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Dsjar2DQIAAAQEAAAOAAAAAAAAAAEAIAAAAB8B&#10;AABkcnMvZTJvRG9jLnhtbFBLBQYAAAAABgAGAFkBAACe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end"/>
    </w:r>
  </w:p>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20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38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D0AE5"/>
    <w:multiLevelType w:val="singleLevel"/>
    <w:tmpl w:val="880D0AE5"/>
    <w:lvl w:ilvl="0" w:tentative="0">
      <w:start w:val="1"/>
      <w:numFmt w:val="chineseCounting"/>
      <w:suff w:val="space"/>
      <w:lvlText w:val="第%1节"/>
      <w:lvlJc w:val="left"/>
      <w:rPr>
        <w:rFonts w:hint="eastAsia"/>
      </w:rPr>
    </w:lvl>
  </w:abstractNum>
  <w:abstractNum w:abstractNumId="1">
    <w:nsid w:val="00000001"/>
    <w:multiLevelType w:val="singleLevel"/>
    <w:tmpl w:val="00000001"/>
    <w:lvl w:ilvl="0" w:tentative="0">
      <w:start w:val="1"/>
      <w:numFmt w:val="decimal"/>
      <w:pStyle w:val="61"/>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2ZGE1MGE5NjViYjA2N2MxYzEyMWZiOTViYjlmMzUifQ=="/>
  </w:docVars>
  <w:rsids>
    <w:rsidRoot w:val="00172A27"/>
    <w:rsid w:val="000016B3"/>
    <w:rsid w:val="00002C26"/>
    <w:rsid w:val="00006A15"/>
    <w:rsid w:val="000118FB"/>
    <w:rsid w:val="0002275C"/>
    <w:rsid w:val="00023E88"/>
    <w:rsid w:val="00032014"/>
    <w:rsid w:val="00035771"/>
    <w:rsid w:val="00035958"/>
    <w:rsid w:val="000416E4"/>
    <w:rsid w:val="000509D5"/>
    <w:rsid w:val="000517C6"/>
    <w:rsid w:val="00053DA9"/>
    <w:rsid w:val="0005718E"/>
    <w:rsid w:val="000610AA"/>
    <w:rsid w:val="00064D06"/>
    <w:rsid w:val="00066825"/>
    <w:rsid w:val="000747DD"/>
    <w:rsid w:val="00076A49"/>
    <w:rsid w:val="00083188"/>
    <w:rsid w:val="0008324D"/>
    <w:rsid w:val="000926F8"/>
    <w:rsid w:val="000A3ACE"/>
    <w:rsid w:val="000A4861"/>
    <w:rsid w:val="000B1BDD"/>
    <w:rsid w:val="000B20CF"/>
    <w:rsid w:val="000B59DB"/>
    <w:rsid w:val="000B6204"/>
    <w:rsid w:val="000C3E65"/>
    <w:rsid w:val="000C5E6C"/>
    <w:rsid w:val="000C61FF"/>
    <w:rsid w:val="000C7B27"/>
    <w:rsid w:val="000D11D0"/>
    <w:rsid w:val="000D39AF"/>
    <w:rsid w:val="000D442B"/>
    <w:rsid w:val="000E28F5"/>
    <w:rsid w:val="000E2EDD"/>
    <w:rsid w:val="000E33D8"/>
    <w:rsid w:val="000E35C6"/>
    <w:rsid w:val="000E50A9"/>
    <w:rsid w:val="000F7989"/>
    <w:rsid w:val="00113CB8"/>
    <w:rsid w:val="001149B1"/>
    <w:rsid w:val="001150F1"/>
    <w:rsid w:val="00120001"/>
    <w:rsid w:val="00122A18"/>
    <w:rsid w:val="001266C1"/>
    <w:rsid w:val="00130792"/>
    <w:rsid w:val="001318F3"/>
    <w:rsid w:val="00132B26"/>
    <w:rsid w:val="00134889"/>
    <w:rsid w:val="0013572E"/>
    <w:rsid w:val="00136EFA"/>
    <w:rsid w:val="00137553"/>
    <w:rsid w:val="00142DB1"/>
    <w:rsid w:val="00143EF9"/>
    <w:rsid w:val="0014444A"/>
    <w:rsid w:val="001456C9"/>
    <w:rsid w:val="001476ED"/>
    <w:rsid w:val="001560B1"/>
    <w:rsid w:val="0016054F"/>
    <w:rsid w:val="00163E7D"/>
    <w:rsid w:val="00165069"/>
    <w:rsid w:val="0017207C"/>
    <w:rsid w:val="00172A27"/>
    <w:rsid w:val="0018073F"/>
    <w:rsid w:val="00180F87"/>
    <w:rsid w:val="00190CCB"/>
    <w:rsid w:val="00195358"/>
    <w:rsid w:val="001A6495"/>
    <w:rsid w:val="001A6B13"/>
    <w:rsid w:val="001B14B8"/>
    <w:rsid w:val="001B33C1"/>
    <w:rsid w:val="001B45A2"/>
    <w:rsid w:val="001B4A83"/>
    <w:rsid w:val="001D18A3"/>
    <w:rsid w:val="001D19DD"/>
    <w:rsid w:val="001D4276"/>
    <w:rsid w:val="001E77C6"/>
    <w:rsid w:val="001F1445"/>
    <w:rsid w:val="001F3CEA"/>
    <w:rsid w:val="001F6A39"/>
    <w:rsid w:val="001F6F5E"/>
    <w:rsid w:val="002039E8"/>
    <w:rsid w:val="00205581"/>
    <w:rsid w:val="00205DCF"/>
    <w:rsid w:val="002061B4"/>
    <w:rsid w:val="0020737C"/>
    <w:rsid w:val="00216EC3"/>
    <w:rsid w:val="00217841"/>
    <w:rsid w:val="00222DE3"/>
    <w:rsid w:val="0022605C"/>
    <w:rsid w:val="002267F0"/>
    <w:rsid w:val="00227694"/>
    <w:rsid w:val="00232E2A"/>
    <w:rsid w:val="0023699E"/>
    <w:rsid w:val="0023785B"/>
    <w:rsid w:val="002409BD"/>
    <w:rsid w:val="00246405"/>
    <w:rsid w:val="00250126"/>
    <w:rsid w:val="00254F0B"/>
    <w:rsid w:val="002553FB"/>
    <w:rsid w:val="0026627A"/>
    <w:rsid w:val="002670D2"/>
    <w:rsid w:val="002703E4"/>
    <w:rsid w:val="00271ADE"/>
    <w:rsid w:val="0027684E"/>
    <w:rsid w:val="002816F1"/>
    <w:rsid w:val="002832F4"/>
    <w:rsid w:val="00283BC0"/>
    <w:rsid w:val="0028419D"/>
    <w:rsid w:val="00293088"/>
    <w:rsid w:val="00293802"/>
    <w:rsid w:val="00294638"/>
    <w:rsid w:val="002A21B6"/>
    <w:rsid w:val="002A412F"/>
    <w:rsid w:val="002A6552"/>
    <w:rsid w:val="002B4310"/>
    <w:rsid w:val="002B4BF1"/>
    <w:rsid w:val="002B5DB2"/>
    <w:rsid w:val="002B7F5A"/>
    <w:rsid w:val="002C42A7"/>
    <w:rsid w:val="002D15D9"/>
    <w:rsid w:val="002D1CCC"/>
    <w:rsid w:val="002D4350"/>
    <w:rsid w:val="002D65AC"/>
    <w:rsid w:val="002D7B08"/>
    <w:rsid w:val="002E0141"/>
    <w:rsid w:val="002E651D"/>
    <w:rsid w:val="002F1435"/>
    <w:rsid w:val="0030521A"/>
    <w:rsid w:val="00306350"/>
    <w:rsid w:val="003075C6"/>
    <w:rsid w:val="00307A22"/>
    <w:rsid w:val="00316143"/>
    <w:rsid w:val="0032527A"/>
    <w:rsid w:val="00325874"/>
    <w:rsid w:val="00330C69"/>
    <w:rsid w:val="00333104"/>
    <w:rsid w:val="00333BC7"/>
    <w:rsid w:val="00342489"/>
    <w:rsid w:val="00343B67"/>
    <w:rsid w:val="003478E6"/>
    <w:rsid w:val="003554BA"/>
    <w:rsid w:val="00360A65"/>
    <w:rsid w:val="00362ADC"/>
    <w:rsid w:val="00370E25"/>
    <w:rsid w:val="003717BA"/>
    <w:rsid w:val="0037676D"/>
    <w:rsid w:val="00392803"/>
    <w:rsid w:val="00395DA8"/>
    <w:rsid w:val="003A41BB"/>
    <w:rsid w:val="003A7170"/>
    <w:rsid w:val="003B07EB"/>
    <w:rsid w:val="003B2289"/>
    <w:rsid w:val="003B4D6A"/>
    <w:rsid w:val="003C0347"/>
    <w:rsid w:val="003C4FF3"/>
    <w:rsid w:val="003D783E"/>
    <w:rsid w:val="003D78B9"/>
    <w:rsid w:val="003D7DC7"/>
    <w:rsid w:val="003E524B"/>
    <w:rsid w:val="003E548D"/>
    <w:rsid w:val="003E5E7E"/>
    <w:rsid w:val="003E73A0"/>
    <w:rsid w:val="003F1F25"/>
    <w:rsid w:val="003F20EE"/>
    <w:rsid w:val="003F3340"/>
    <w:rsid w:val="004040F4"/>
    <w:rsid w:val="00405576"/>
    <w:rsid w:val="00405836"/>
    <w:rsid w:val="00407039"/>
    <w:rsid w:val="00415D2A"/>
    <w:rsid w:val="004177D9"/>
    <w:rsid w:val="00425B55"/>
    <w:rsid w:val="00426BED"/>
    <w:rsid w:val="0043273B"/>
    <w:rsid w:val="00437DB3"/>
    <w:rsid w:val="00437F79"/>
    <w:rsid w:val="00440870"/>
    <w:rsid w:val="0044391A"/>
    <w:rsid w:val="00450E04"/>
    <w:rsid w:val="00452D30"/>
    <w:rsid w:val="00453F05"/>
    <w:rsid w:val="00457F0D"/>
    <w:rsid w:val="0046159D"/>
    <w:rsid w:val="004627BD"/>
    <w:rsid w:val="004715F0"/>
    <w:rsid w:val="004753F6"/>
    <w:rsid w:val="004767A3"/>
    <w:rsid w:val="004818AD"/>
    <w:rsid w:val="00490179"/>
    <w:rsid w:val="00494CC9"/>
    <w:rsid w:val="00496AE6"/>
    <w:rsid w:val="00496CD7"/>
    <w:rsid w:val="004A1382"/>
    <w:rsid w:val="004A475B"/>
    <w:rsid w:val="004B600C"/>
    <w:rsid w:val="004C2933"/>
    <w:rsid w:val="004C51E4"/>
    <w:rsid w:val="004C6C4D"/>
    <w:rsid w:val="004C78CD"/>
    <w:rsid w:val="004D0D87"/>
    <w:rsid w:val="004D1BAE"/>
    <w:rsid w:val="004D3DB4"/>
    <w:rsid w:val="004D4D82"/>
    <w:rsid w:val="004D54A4"/>
    <w:rsid w:val="004E3000"/>
    <w:rsid w:val="004F04B7"/>
    <w:rsid w:val="004F2644"/>
    <w:rsid w:val="004F3375"/>
    <w:rsid w:val="005005F5"/>
    <w:rsid w:val="0050575F"/>
    <w:rsid w:val="00507665"/>
    <w:rsid w:val="00511956"/>
    <w:rsid w:val="00511FC2"/>
    <w:rsid w:val="0051449F"/>
    <w:rsid w:val="005230A5"/>
    <w:rsid w:val="00523EB2"/>
    <w:rsid w:val="00524901"/>
    <w:rsid w:val="00524B95"/>
    <w:rsid w:val="00530394"/>
    <w:rsid w:val="005329BC"/>
    <w:rsid w:val="00540C99"/>
    <w:rsid w:val="00541775"/>
    <w:rsid w:val="005438E2"/>
    <w:rsid w:val="00550493"/>
    <w:rsid w:val="005508B8"/>
    <w:rsid w:val="00550D7C"/>
    <w:rsid w:val="00552673"/>
    <w:rsid w:val="00554A08"/>
    <w:rsid w:val="00557330"/>
    <w:rsid w:val="005666A8"/>
    <w:rsid w:val="00575FFD"/>
    <w:rsid w:val="005863EB"/>
    <w:rsid w:val="00591C88"/>
    <w:rsid w:val="0059219F"/>
    <w:rsid w:val="00593848"/>
    <w:rsid w:val="005A266A"/>
    <w:rsid w:val="005A2956"/>
    <w:rsid w:val="005A495E"/>
    <w:rsid w:val="005B6C15"/>
    <w:rsid w:val="005C0864"/>
    <w:rsid w:val="005C0BB3"/>
    <w:rsid w:val="005C124B"/>
    <w:rsid w:val="005C22CC"/>
    <w:rsid w:val="005D0E33"/>
    <w:rsid w:val="005D1B6A"/>
    <w:rsid w:val="005D2457"/>
    <w:rsid w:val="005D480A"/>
    <w:rsid w:val="005E23C4"/>
    <w:rsid w:val="005E3350"/>
    <w:rsid w:val="005E7C77"/>
    <w:rsid w:val="005F0A2D"/>
    <w:rsid w:val="005F5793"/>
    <w:rsid w:val="005F589A"/>
    <w:rsid w:val="005F63F1"/>
    <w:rsid w:val="006020AD"/>
    <w:rsid w:val="006045B8"/>
    <w:rsid w:val="00611CEC"/>
    <w:rsid w:val="00612B1A"/>
    <w:rsid w:val="00616C60"/>
    <w:rsid w:val="006240C6"/>
    <w:rsid w:val="00631529"/>
    <w:rsid w:val="006351FF"/>
    <w:rsid w:val="00636003"/>
    <w:rsid w:val="0064077D"/>
    <w:rsid w:val="0064586E"/>
    <w:rsid w:val="00653531"/>
    <w:rsid w:val="00655D59"/>
    <w:rsid w:val="00655F8A"/>
    <w:rsid w:val="006646EF"/>
    <w:rsid w:val="0066503F"/>
    <w:rsid w:val="00672E7C"/>
    <w:rsid w:val="00674000"/>
    <w:rsid w:val="00674E46"/>
    <w:rsid w:val="00675938"/>
    <w:rsid w:val="006761B4"/>
    <w:rsid w:val="00686469"/>
    <w:rsid w:val="00693C48"/>
    <w:rsid w:val="00693EA7"/>
    <w:rsid w:val="0069708D"/>
    <w:rsid w:val="006A04D2"/>
    <w:rsid w:val="006A25FE"/>
    <w:rsid w:val="006A6CCC"/>
    <w:rsid w:val="006B326E"/>
    <w:rsid w:val="006B7C8B"/>
    <w:rsid w:val="006C61F1"/>
    <w:rsid w:val="006C6878"/>
    <w:rsid w:val="006D27B0"/>
    <w:rsid w:val="006D4D91"/>
    <w:rsid w:val="006D5CAF"/>
    <w:rsid w:val="006E0547"/>
    <w:rsid w:val="006E0A49"/>
    <w:rsid w:val="006E3AC0"/>
    <w:rsid w:val="006F0757"/>
    <w:rsid w:val="006F12CF"/>
    <w:rsid w:val="006F3819"/>
    <w:rsid w:val="006F7E25"/>
    <w:rsid w:val="007011CA"/>
    <w:rsid w:val="007035DE"/>
    <w:rsid w:val="00705414"/>
    <w:rsid w:val="007107F1"/>
    <w:rsid w:val="00711EE0"/>
    <w:rsid w:val="0071548C"/>
    <w:rsid w:val="00720F36"/>
    <w:rsid w:val="00731157"/>
    <w:rsid w:val="007315F8"/>
    <w:rsid w:val="00735A32"/>
    <w:rsid w:val="00737A6A"/>
    <w:rsid w:val="00740FED"/>
    <w:rsid w:val="007423BB"/>
    <w:rsid w:val="00743823"/>
    <w:rsid w:val="00750788"/>
    <w:rsid w:val="00751088"/>
    <w:rsid w:val="007547AE"/>
    <w:rsid w:val="007560E2"/>
    <w:rsid w:val="00770367"/>
    <w:rsid w:val="00774BC6"/>
    <w:rsid w:val="00777BE9"/>
    <w:rsid w:val="007874C5"/>
    <w:rsid w:val="00790797"/>
    <w:rsid w:val="007943A2"/>
    <w:rsid w:val="00796056"/>
    <w:rsid w:val="007B0C21"/>
    <w:rsid w:val="007B180D"/>
    <w:rsid w:val="007B1C37"/>
    <w:rsid w:val="007B6235"/>
    <w:rsid w:val="007C426B"/>
    <w:rsid w:val="007C530B"/>
    <w:rsid w:val="007C6A71"/>
    <w:rsid w:val="007D04E1"/>
    <w:rsid w:val="007D0C8B"/>
    <w:rsid w:val="007D670D"/>
    <w:rsid w:val="007E273F"/>
    <w:rsid w:val="007E6469"/>
    <w:rsid w:val="007F147C"/>
    <w:rsid w:val="007F524A"/>
    <w:rsid w:val="007F7D1E"/>
    <w:rsid w:val="00803E70"/>
    <w:rsid w:val="00805626"/>
    <w:rsid w:val="00812E0A"/>
    <w:rsid w:val="0081614C"/>
    <w:rsid w:val="00817618"/>
    <w:rsid w:val="00820966"/>
    <w:rsid w:val="00820EB6"/>
    <w:rsid w:val="008221EA"/>
    <w:rsid w:val="008221F4"/>
    <w:rsid w:val="008231D9"/>
    <w:rsid w:val="0083345C"/>
    <w:rsid w:val="008375C9"/>
    <w:rsid w:val="0084101D"/>
    <w:rsid w:val="00847591"/>
    <w:rsid w:val="008514B5"/>
    <w:rsid w:val="00854CE4"/>
    <w:rsid w:val="00855E64"/>
    <w:rsid w:val="008716BA"/>
    <w:rsid w:val="00871A83"/>
    <w:rsid w:val="00871BEB"/>
    <w:rsid w:val="00874078"/>
    <w:rsid w:val="00874E43"/>
    <w:rsid w:val="008755AD"/>
    <w:rsid w:val="00887CDC"/>
    <w:rsid w:val="008931EC"/>
    <w:rsid w:val="008934D0"/>
    <w:rsid w:val="008961E3"/>
    <w:rsid w:val="008972B2"/>
    <w:rsid w:val="008A01FE"/>
    <w:rsid w:val="008A5C76"/>
    <w:rsid w:val="008B2D92"/>
    <w:rsid w:val="008B7197"/>
    <w:rsid w:val="008B7CD3"/>
    <w:rsid w:val="008C15AE"/>
    <w:rsid w:val="008D0B42"/>
    <w:rsid w:val="008D592F"/>
    <w:rsid w:val="008D633E"/>
    <w:rsid w:val="008E3C08"/>
    <w:rsid w:val="008E3C18"/>
    <w:rsid w:val="008E573D"/>
    <w:rsid w:val="008E5756"/>
    <w:rsid w:val="008F28C3"/>
    <w:rsid w:val="00904877"/>
    <w:rsid w:val="00905865"/>
    <w:rsid w:val="00911CB4"/>
    <w:rsid w:val="00911DE6"/>
    <w:rsid w:val="009152EF"/>
    <w:rsid w:val="009170C9"/>
    <w:rsid w:val="00926A4F"/>
    <w:rsid w:val="00926F7F"/>
    <w:rsid w:val="00927DEA"/>
    <w:rsid w:val="00932039"/>
    <w:rsid w:val="00932EC3"/>
    <w:rsid w:val="0093355A"/>
    <w:rsid w:val="009351BE"/>
    <w:rsid w:val="00940190"/>
    <w:rsid w:val="00940783"/>
    <w:rsid w:val="00943DB9"/>
    <w:rsid w:val="009451B1"/>
    <w:rsid w:val="009452BF"/>
    <w:rsid w:val="0095049D"/>
    <w:rsid w:val="00950C3A"/>
    <w:rsid w:val="009529B8"/>
    <w:rsid w:val="00960DBD"/>
    <w:rsid w:val="0096762B"/>
    <w:rsid w:val="00967F71"/>
    <w:rsid w:val="009701BD"/>
    <w:rsid w:val="009721D3"/>
    <w:rsid w:val="009724A1"/>
    <w:rsid w:val="0098056E"/>
    <w:rsid w:val="009917AD"/>
    <w:rsid w:val="00992184"/>
    <w:rsid w:val="009965C8"/>
    <w:rsid w:val="009A034A"/>
    <w:rsid w:val="009B1796"/>
    <w:rsid w:val="009B78CA"/>
    <w:rsid w:val="009B78D1"/>
    <w:rsid w:val="009C73D1"/>
    <w:rsid w:val="009D1E94"/>
    <w:rsid w:val="009D22B5"/>
    <w:rsid w:val="009D551B"/>
    <w:rsid w:val="009D597A"/>
    <w:rsid w:val="009D7C44"/>
    <w:rsid w:val="009E1A0F"/>
    <w:rsid w:val="009E2CFB"/>
    <w:rsid w:val="009E5A04"/>
    <w:rsid w:val="009E5F5E"/>
    <w:rsid w:val="00A02918"/>
    <w:rsid w:val="00A03497"/>
    <w:rsid w:val="00A04847"/>
    <w:rsid w:val="00A05827"/>
    <w:rsid w:val="00A06B83"/>
    <w:rsid w:val="00A17B8E"/>
    <w:rsid w:val="00A208B5"/>
    <w:rsid w:val="00A21AE8"/>
    <w:rsid w:val="00A25945"/>
    <w:rsid w:val="00A25F6B"/>
    <w:rsid w:val="00A30A21"/>
    <w:rsid w:val="00A35946"/>
    <w:rsid w:val="00A37DDE"/>
    <w:rsid w:val="00A41F5A"/>
    <w:rsid w:val="00A42380"/>
    <w:rsid w:val="00A424AA"/>
    <w:rsid w:val="00A45682"/>
    <w:rsid w:val="00A507C6"/>
    <w:rsid w:val="00A517DA"/>
    <w:rsid w:val="00A548CA"/>
    <w:rsid w:val="00A61157"/>
    <w:rsid w:val="00A62AEA"/>
    <w:rsid w:val="00A66313"/>
    <w:rsid w:val="00A72163"/>
    <w:rsid w:val="00A74A7D"/>
    <w:rsid w:val="00A74DDA"/>
    <w:rsid w:val="00A76A6F"/>
    <w:rsid w:val="00AA243B"/>
    <w:rsid w:val="00AA4A6C"/>
    <w:rsid w:val="00AA50E3"/>
    <w:rsid w:val="00AB1E73"/>
    <w:rsid w:val="00AB5EB8"/>
    <w:rsid w:val="00AC038F"/>
    <w:rsid w:val="00AC2DD2"/>
    <w:rsid w:val="00AC5C7C"/>
    <w:rsid w:val="00AC779C"/>
    <w:rsid w:val="00AD1D44"/>
    <w:rsid w:val="00AD3634"/>
    <w:rsid w:val="00AD4658"/>
    <w:rsid w:val="00AE16CC"/>
    <w:rsid w:val="00AE59AD"/>
    <w:rsid w:val="00AF0945"/>
    <w:rsid w:val="00AF5960"/>
    <w:rsid w:val="00B10721"/>
    <w:rsid w:val="00B134F8"/>
    <w:rsid w:val="00B1601B"/>
    <w:rsid w:val="00B24006"/>
    <w:rsid w:val="00B27A62"/>
    <w:rsid w:val="00B317A6"/>
    <w:rsid w:val="00B33E80"/>
    <w:rsid w:val="00B37E8D"/>
    <w:rsid w:val="00B43345"/>
    <w:rsid w:val="00B45938"/>
    <w:rsid w:val="00B5565D"/>
    <w:rsid w:val="00B65504"/>
    <w:rsid w:val="00B66319"/>
    <w:rsid w:val="00B70C88"/>
    <w:rsid w:val="00B73586"/>
    <w:rsid w:val="00B76252"/>
    <w:rsid w:val="00B837D6"/>
    <w:rsid w:val="00B853B5"/>
    <w:rsid w:val="00B8549B"/>
    <w:rsid w:val="00B867E5"/>
    <w:rsid w:val="00B9009C"/>
    <w:rsid w:val="00B903F3"/>
    <w:rsid w:val="00B9071C"/>
    <w:rsid w:val="00B921F5"/>
    <w:rsid w:val="00B9374B"/>
    <w:rsid w:val="00B93CEB"/>
    <w:rsid w:val="00BA4822"/>
    <w:rsid w:val="00BA79B0"/>
    <w:rsid w:val="00BA7E5F"/>
    <w:rsid w:val="00BC3AD5"/>
    <w:rsid w:val="00BC5C55"/>
    <w:rsid w:val="00BD030B"/>
    <w:rsid w:val="00BD0DE5"/>
    <w:rsid w:val="00BD7116"/>
    <w:rsid w:val="00BE36C5"/>
    <w:rsid w:val="00BE42A6"/>
    <w:rsid w:val="00BE6080"/>
    <w:rsid w:val="00BF074B"/>
    <w:rsid w:val="00BF45C3"/>
    <w:rsid w:val="00BF5D39"/>
    <w:rsid w:val="00C0339A"/>
    <w:rsid w:val="00C03534"/>
    <w:rsid w:val="00C066A6"/>
    <w:rsid w:val="00C06934"/>
    <w:rsid w:val="00C06D4B"/>
    <w:rsid w:val="00C121D7"/>
    <w:rsid w:val="00C128A6"/>
    <w:rsid w:val="00C147F6"/>
    <w:rsid w:val="00C14AD4"/>
    <w:rsid w:val="00C173B8"/>
    <w:rsid w:val="00C17AAD"/>
    <w:rsid w:val="00C20609"/>
    <w:rsid w:val="00C21D43"/>
    <w:rsid w:val="00C234E8"/>
    <w:rsid w:val="00C27117"/>
    <w:rsid w:val="00C3246C"/>
    <w:rsid w:val="00C32C76"/>
    <w:rsid w:val="00C34C0B"/>
    <w:rsid w:val="00C3634B"/>
    <w:rsid w:val="00C50197"/>
    <w:rsid w:val="00C65341"/>
    <w:rsid w:val="00C80389"/>
    <w:rsid w:val="00C811C9"/>
    <w:rsid w:val="00C91BF5"/>
    <w:rsid w:val="00C93FBA"/>
    <w:rsid w:val="00C94FEA"/>
    <w:rsid w:val="00C955C5"/>
    <w:rsid w:val="00C95F40"/>
    <w:rsid w:val="00CA076C"/>
    <w:rsid w:val="00CA102E"/>
    <w:rsid w:val="00CA47CD"/>
    <w:rsid w:val="00CA61B9"/>
    <w:rsid w:val="00CB0DC8"/>
    <w:rsid w:val="00CB1F0E"/>
    <w:rsid w:val="00CC2A7C"/>
    <w:rsid w:val="00CE4151"/>
    <w:rsid w:val="00CF3CA7"/>
    <w:rsid w:val="00CF3F45"/>
    <w:rsid w:val="00D00738"/>
    <w:rsid w:val="00D03B0C"/>
    <w:rsid w:val="00D03CC5"/>
    <w:rsid w:val="00D04A42"/>
    <w:rsid w:val="00D059F9"/>
    <w:rsid w:val="00D07C9A"/>
    <w:rsid w:val="00D1355D"/>
    <w:rsid w:val="00D15ADE"/>
    <w:rsid w:val="00D204DD"/>
    <w:rsid w:val="00D2604B"/>
    <w:rsid w:val="00D26BDC"/>
    <w:rsid w:val="00D304CD"/>
    <w:rsid w:val="00D30E13"/>
    <w:rsid w:val="00D33166"/>
    <w:rsid w:val="00D35E45"/>
    <w:rsid w:val="00D40715"/>
    <w:rsid w:val="00D4423C"/>
    <w:rsid w:val="00D447AB"/>
    <w:rsid w:val="00D46E4E"/>
    <w:rsid w:val="00D55902"/>
    <w:rsid w:val="00D573EA"/>
    <w:rsid w:val="00D57EAD"/>
    <w:rsid w:val="00D61095"/>
    <w:rsid w:val="00D625EF"/>
    <w:rsid w:val="00D70698"/>
    <w:rsid w:val="00D74E18"/>
    <w:rsid w:val="00D8236A"/>
    <w:rsid w:val="00D82822"/>
    <w:rsid w:val="00D91B18"/>
    <w:rsid w:val="00D92405"/>
    <w:rsid w:val="00D93560"/>
    <w:rsid w:val="00D94061"/>
    <w:rsid w:val="00D97BCE"/>
    <w:rsid w:val="00DA39F4"/>
    <w:rsid w:val="00DA40B1"/>
    <w:rsid w:val="00DA458C"/>
    <w:rsid w:val="00DA58BE"/>
    <w:rsid w:val="00DA6276"/>
    <w:rsid w:val="00DB0D23"/>
    <w:rsid w:val="00DB1C0E"/>
    <w:rsid w:val="00DB49F7"/>
    <w:rsid w:val="00DB4BC3"/>
    <w:rsid w:val="00DB56E6"/>
    <w:rsid w:val="00DB65DA"/>
    <w:rsid w:val="00DB67F0"/>
    <w:rsid w:val="00DB6D71"/>
    <w:rsid w:val="00DB70CE"/>
    <w:rsid w:val="00DC60F9"/>
    <w:rsid w:val="00DD16EA"/>
    <w:rsid w:val="00DD17E5"/>
    <w:rsid w:val="00DD6B2B"/>
    <w:rsid w:val="00DD7A6C"/>
    <w:rsid w:val="00DE3D51"/>
    <w:rsid w:val="00DE599D"/>
    <w:rsid w:val="00DF1F55"/>
    <w:rsid w:val="00DF2BC2"/>
    <w:rsid w:val="00DF3633"/>
    <w:rsid w:val="00DF376C"/>
    <w:rsid w:val="00DF6D20"/>
    <w:rsid w:val="00E03693"/>
    <w:rsid w:val="00E043D2"/>
    <w:rsid w:val="00E07EB4"/>
    <w:rsid w:val="00E12CEB"/>
    <w:rsid w:val="00E13FCB"/>
    <w:rsid w:val="00E214E9"/>
    <w:rsid w:val="00E22825"/>
    <w:rsid w:val="00E2556F"/>
    <w:rsid w:val="00E25BAB"/>
    <w:rsid w:val="00E30459"/>
    <w:rsid w:val="00E35EC1"/>
    <w:rsid w:val="00E405C8"/>
    <w:rsid w:val="00E4185A"/>
    <w:rsid w:val="00E470F4"/>
    <w:rsid w:val="00E47914"/>
    <w:rsid w:val="00E50685"/>
    <w:rsid w:val="00E50C33"/>
    <w:rsid w:val="00E521A9"/>
    <w:rsid w:val="00E52ABA"/>
    <w:rsid w:val="00E628B9"/>
    <w:rsid w:val="00E63DB2"/>
    <w:rsid w:val="00E657B4"/>
    <w:rsid w:val="00E7249A"/>
    <w:rsid w:val="00E756AE"/>
    <w:rsid w:val="00E764AB"/>
    <w:rsid w:val="00E87CF0"/>
    <w:rsid w:val="00E92FBE"/>
    <w:rsid w:val="00E9719F"/>
    <w:rsid w:val="00EA694E"/>
    <w:rsid w:val="00EB2591"/>
    <w:rsid w:val="00EC3077"/>
    <w:rsid w:val="00EC503C"/>
    <w:rsid w:val="00EC6DFC"/>
    <w:rsid w:val="00ED42B6"/>
    <w:rsid w:val="00ED4623"/>
    <w:rsid w:val="00ED6674"/>
    <w:rsid w:val="00EE6C43"/>
    <w:rsid w:val="00EF3328"/>
    <w:rsid w:val="00EF3541"/>
    <w:rsid w:val="00EF5531"/>
    <w:rsid w:val="00EF578E"/>
    <w:rsid w:val="00EF72E1"/>
    <w:rsid w:val="00F03C3E"/>
    <w:rsid w:val="00F071B7"/>
    <w:rsid w:val="00F074B9"/>
    <w:rsid w:val="00F12C9F"/>
    <w:rsid w:val="00F14318"/>
    <w:rsid w:val="00F14E4D"/>
    <w:rsid w:val="00F153FA"/>
    <w:rsid w:val="00F20470"/>
    <w:rsid w:val="00F21BFD"/>
    <w:rsid w:val="00F246E2"/>
    <w:rsid w:val="00F252C6"/>
    <w:rsid w:val="00F25982"/>
    <w:rsid w:val="00F26B94"/>
    <w:rsid w:val="00F26C78"/>
    <w:rsid w:val="00F27F85"/>
    <w:rsid w:val="00F417ED"/>
    <w:rsid w:val="00F455C5"/>
    <w:rsid w:val="00F528F2"/>
    <w:rsid w:val="00F538AD"/>
    <w:rsid w:val="00F6490C"/>
    <w:rsid w:val="00F66053"/>
    <w:rsid w:val="00F67A17"/>
    <w:rsid w:val="00F77611"/>
    <w:rsid w:val="00F8215E"/>
    <w:rsid w:val="00F83A0F"/>
    <w:rsid w:val="00F849E3"/>
    <w:rsid w:val="00F958C4"/>
    <w:rsid w:val="00FA15BE"/>
    <w:rsid w:val="00FA396F"/>
    <w:rsid w:val="00FA43EC"/>
    <w:rsid w:val="00FC083E"/>
    <w:rsid w:val="00FC13FB"/>
    <w:rsid w:val="00FC1EE2"/>
    <w:rsid w:val="00FC5811"/>
    <w:rsid w:val="00FC59C6"/>
    <w:rsid w:val="00FC702C"/>
    <w:rsid w:val="00FD0DA2"/>
    <w:rsid w:val="00FD487D"/>
    <w:rsid w:val="00FD6004"/>
    <w:rsid w:val="00FE19A1"/>
    <w:rsid w:val="00FE201F"/>
    <w:rsid w:val="00FE4D1E"/>
    <w:rsid w:val="00FE4E6B"/>
    <w:rsid w:val="00FE72F2"/>
    <w:rsid w:val="00FF0233"/>
    <w:rsid w:val="00FF3226"/>
    <w:rsid w:val="00FF4018"/>
    <w:rsid w:val="01444F8E"/>
    <w:rsid w:val="01472177"/>
    <w:rsid w:val="015B10C6"/>
    <w:rsid w:val="01687AD6"/>
    <w:rsid w:val="016A797B"/>
    <w:rsid w:val="01AC2BE4"/>
    <w:rsid w:val="01AF4D42"/>
    <w:rsid w:val="01CC1DBC"/>
    <w:rsid w:val="01CF5317"/>
    <w:rsid w:val="01E34D25"/>
    <w:rsid w:val="0225074C"/>
    <w:rsid w:val="022950E4"/>
    <w:rsid w:val="0245586C"/>
    <w:rsid w:val="02497534"/>
    <w:rsid w:val="02A431C5"/>
    <w:rsid w:val="02B349AE"/>
    <w:rsid w:val="02B85E09"/>
    <w:rsid w:val="02BB15B7"/>
    <w:rsid w:val="02C06C91"/>
    <w:rsid w:val="02C170CB"/>
    <w:rsid w:val="02C17C5F"/>
    <w:rsid w:val="02D3297D"/>
    <w:rsid w:val="02D90671"/>
    <w:rsid w:val="02D97CF1"/>
    <w:rsid w:val="02EF2E40"/>
    <w:rsid w:val="02EF7974"/>
    <w:rsid w:val="02F50106"/>
    <w:rsid w:val="030C64F5"/>
    <w:rsid w:val="03241A2B"/>
    <w:rsid w:val="032628D2"/>
    <w:rsid w:val="033173B6"/>
    <w:rsid w:val="033E2F09"/>
    <w:rsid w:val="036E22AD"/>
    <w:rsid w:val="0372712B"/>
    <w:rsid w:val="037A6E2A"/>
    <w:rsid w:val="03A76526"/>
    <w:rsid w:val="03A876B5"/>
    <w:rsid w:val="03C41BA4"/>
    <w:rsid w:val="03D3361D"/>
    <w:rsid w:val="03D7737D"/>
    <w:rsid w:val="03DD6186"/>
    <w:rsid w:val="03DE3734"/>
    <w:rsid w:val="03E54176"/>
    <w:rsid w:val="03FB48EF"/>
    <w:rsid w:val="03FC5A59"/>
    <w:rsid w:val="040B3430"/>
    <w:rsid w:val="041802EC"/>
    <w:rsid w:val="04182746"/>
    <w:rsid w:val="04195EAF"/>
    <w:rsid w:val="041D24B9"/>
    <w:rsid w:val="043B2D69"/>
    <w:rsid w:val="043B4665"/>
    <w:rsid w:val="04452310"/>
    <w:rsid w:val="046043D9"/>
    <w:rsid w:val="0463742A"/>
    <w:rsid w:val="04704332"/>
    <w:rsid w:val="047E4817"/>
    <w:rsid w:val="04AB14C4"/>
    <w:rsid w:val="04B0613C"/>
    <w:rsid w:val="04C70D83"/>
    <w:rsid w:val="04F25EE2"/>
    <w:rsid w:val="04FC1F54"/>
    <w:rsid w:val="05103534"/>
    <w:rsid w:val="05200F6D"/>
    <w:rsid w:val="052C6D8B"/>
    <w:rsid w:val="054D4ACF"/>
    <w:rsid w:val="059315DE"/>
    <w:rsid w:val="059C6D41"/>
    <w:rsid w:val="05B74771"/>
    <w:rsid w:val="05D852B7"/>
    <w:rsid w:val="06090E6E"/>
    <w:rsid w:val="06097F00"/>
    <w:rsid w:val="06140CDA"/>
    <w:rsid w:val="06173EC2"/>
    <w:rsid w:val="061A38C2"/>
    <w:rsid w:val="0621518D"/>
    <w:rsid w:val="063C4B09"/>
    <w:rsid w:val="064F3D88"/>
    <w:rsid w:val="066278DC"/>
    <w:rsid w:val="0680117D"/>
    <w:rsid w:val="06840641"/>
    <w:rsid w:val="068659CC"/>
    <w:rsid w:val="06910C53"/>
    <w:rsid w:val="06A9176A"/>
    <w:rsid w:val="06EA77DD"/>
    <w:rsid w:val="07040B5C"/>
    <w:rsid w:val="07171B1E"/>
    <w:rsid w:val="071F4984"/>
    <w:rsid w:val="07200F94"/>
    <w:rsid w:val="073F6234"/>
    <w:rsid w:val="075860A1"/>
    <w:rsid w:val="079303C0"/>
    <w:rsid w:val="07CF731F"/>
    <w:rsid w:val="07D31206"/>
    <w:rsid w:val="07DA0D0A"/>
    <w:rsid w:val="07EB560A"/>
    <w:rsid w:val="07FB3A17"/>
    <w:rsid w:val="081969E8"/>
    <w:rsid w:val="081E2961"/>
    <w:rsid w:val="081F6A2B"/>
    <w:rsid w:val="083341CB"/>
    <w:rsid w:val="086B53FC"/>
    <w:rsid w:val="087F57E3"/>
    <w:rsid w:val="08986A27"/>
    <w:rsid w:val="08A21D1C"/>
    <w:rsid w:val="08A26A1E"/>
    <w:rsid w:val="090118C6"/>
    <w:rsid w:val="091104F1"/>
    <w:rsid w:val="092006BF"/>
    <w:rsid w:val="09242F85"/>
    <w:rsid w:val="092B474C"/>
    <w:rsid w:val="09323D3C"/>
    <w:rsid w:val="09355067"/>
    <w:rsid w:val="0949375A"/>
    <w:rsid w:val="095A7205"/>
    <w:rsid w:val="096E1152"/>
    <w:rsid w:val="097E05BD"/>
    <w:rsid w:val="09844225"/>
    <w:rsid w:val="09A301DE"/>
    <w:rsid w:val="09B3457A"/>
    <w:rsid w:val="09C36E2B"/>
    <w:rsid w:val="09CD37D2"/>
    <w:rsid w:val="09E04150"/>
    <w:rsid w:val="09E972E8"/>
    <w:rsid w:val="09EB75A5"/>
    <w:rsid w:val="09F661BC"/>
    <w:rsid w:val="09FB620A"/>
    <w:rsid w:val="09FC1067"/>
    <w:rsid w:val="0A0512A3"/>
    <w:rsid w:val="0A101E80"/>
    <w:rsid w:val="0A15685B"/>
    <w:rsid w:val="0A36774D"/>
    <w:rsid w:val="0A372700"/>
    <w:rsid w:val="0A5D00A0"/>
    <w:rsid w:val="0A5D5DE0"/>
    <w:rsid w:val="0A8A03EC"/>
    <w:rsid w:val="0A8D2EE2"/>
    <w:rsid w:val="0A9356D2"/>
    <w:rsid w:val="0A9D6FD4"/>
    <w:rsid w:val="0AA57FEF"/>
    <w:rsid w:val="0AAC79F2"/>
    <w:rsid w:val="0AB677F5"/>
    <w:rsid w:val="0AB86A22"/>
    <w:rsid w:val="0ADC16FF"/>
    <w:rsid w:val="0AE32E15"/>
    <w:rsid w:val="0B132070"/>
    <w:rsid w:val="0B24351C"/>
    <w:rsid w:val="0B2F7965"/>
    <w:rsid w:val="0B3D24FE"/>
    <w:rsid w:val="0B3F14D4"/>
    <w:rsid w:val="0B9C7923"/>
    <w:rsid w:val="0BB1571F"/>
    <w:rsid w:val="0BB822DD"/>
    <w:rsid w:val="0BBF7D61"/>
    <w:rsid w:val="0BD074EE"/>
    <w:rsid w:val="0BD10567"/>
    <w:rsid w:val="0BDF00C6"/>
    <w:rsid w:val="0C223B8F"/>
    <w:rsid w:val="0C2661F0"/>
    <w:rsid w:val="0C2C7C08"/>
    <w:rsid w:val="0C7F1BBE"/>
    <w:rsid w:val="0C825AFD"/>
    <w:rsid w:val="0C9B753A"/>
    <w:rsid w:val="0CCC3CA0"/>
    <w:rsid w:val="0D33447C"/>
    <w:rsid w:val="0D4C5AE1"/>
    <w:rsid w:val="0D614BE7"/>
    <w:rsid w:val="0D6B74B1"/>
    <w:rsid w:val="0D945ED5"/>
    <w:rsid w:val="0D9F4B69"/>
    <w:rsid w:val="0DA23CD2"/>
    <w:rsid w:val="0DA61673"/>
    <w:rsid w:val="0DA815B3"/>
    <w:rsid w:val="0DB9083E"/>
    <w:rsid w:val="0DBD4932"/>
    <w:rsid w:val="0DCD03D9"/>
    <w:rsid w:val="0DE75691"/>
    <w:rsid w:val="0DF369CF"/>
    <w:rsid w:val="0DFD5456"/>
    <w:rsid w:val="0E52758D"/>
    <w:rsid w:val="0E562298"/>
    <w:rsid w:val="0E6E115D"/>
    <w:rsid w:val="0E6E1797"/>
    <w:rsid w:val="0E762311"/>
    <w:rsid w:val="0E8518F4"/>
    <w:rsid w:val="0EB12B3F"/>
    <w:rsid w:val="0EBE0962"/>
    <w:rsid w:val="0ED5003F"/>
    <w:rsid w:val="0F072534"/>
    <w:rsid w:val="0F2F2BCC"/>
    <w:rsid w:val="0F3546AB"/>
    <w:rsid w:val="0F387E3C"/>
    <w:rsid w:val="0F3C0070"/>
    <w:rsid w:val="0F4678BA"/>
    <w:rsid w:val="0F693D05"/>
    <w:rsid w:val="0F6C54C0"/>
    <w:rsid w:val="0F77606B"/>
    <w:rsid w:val="0FDE4AA8"/>
    <w:rsid w:val="101A64E5"/>
    <w:rsid w:val="102F3975"/>
    <w:rsid w:val="10407D78"/>
    <w:rsid w:val="10422219"/>
    <w:rsid w:val="10745960"/>
    <w:rsid w:val="10781A27"/>
    <w:rsid w:val="10790217"/>
    <w:rsid w:val="10AF34A1"/>
    <w:rsid w:val="10B05860"/>
    <w:rsid w:val="10C07307"/>
    <w:rsid w:val="113B1BFC"/>
    <w:rsid w:val="114D3A73"/>
    <w:rsid w:val="11694ADD"/>
    <w:rsid w:val="11850394"/>
    <w:rsid w:val="118E1D23"/>
    <w:rsid w:val="11C54897"/>
    <w:rsid w:val="11E24201"/>
    <w:rsid w:val="11E63D86"/>
    <w:rsid w:val="11E93499"/>
    <w:rsid w:val="121015B2"/>
    <w:rsid w:val="121D4CFE"/>
    <w:rsid w:val="121F78C4"/>
    <w:rsid w:val="122214CC"/>
    <w:rsid w:val="1224712A"/>
    <w:rsid w:val="122B2920"/>
    <w:rsid w:val="12386EF3"/>
    <w:rsid w:val="123C077A"/>
    <w:rsid w:val="12897610"/>
    <w:rsid w:val="12A55950"/>
    <w:rsid w:val="12BA7030"/>
    <w:rsid w:val="12E60B1A"/>
    <w:rsid w:val="12E82ACD"/>
    <w:rsid w:val="12F37627"/>
    <w:rsid w:val="12FE7F48"/>
    <w:rsid w:val="1300762F"/>
    <w:rsid w:val="130C4392"/>
    <w:rsid w:val="13346AFF"/>
    <w:rsid w:val="133871F9"/>
    <w:rsid w:val="1342125F"/>
    <w:rsid w:val="13593A42"/>
    <w:rsid w:val="135B45EB"/>
    <w:rsid w:val="13923A98"/>
    <w:rsid w:val="13A04B3D"/>
    <w:rsid w:val="13D5483C"/>
    <w:rsid w:val="13E40E6B"/>
    <w:rsid w:val="13FB749F"/>
    <w:rsid w:val="13FD21A1"/>
    <w:rsid w:val="140E7C96"/>
    <w:rsid w:val="14162C01"/>
    <w:rsid w:val="141D0E06"/>
    <w:rsid w:val="141D38A6"/>
    <w:rsid w:val="146E6B13"/>
    <w:rsid w:val="14996653"/>
    <w:rsid w:val="14A53CE6"/>
    <w:rsid w:val="14A955E1"/>
    <w:rsid w:val="14B35456"/>
    <w:rsid w:val="14C73D64"/>
    <w:rsid w:val="14DD6B3A"/>
    <w:rsid w:val="14DE69FA"/>
    <w:rsid w:val="14F949C6"/>
    <w:rsid w:val="15022121"/>
    <w:rsid w:val="152D569F"/>
    <w:rsid w:val="15355B14"/>
    <w:rsid w:val="1542634C"/>
    <w:rsid w:val="15494381"/>
    <w:rsid w:val="15506E1A"/>
    <w:rsid w:val="156009C5"/>
    <w:rsid w:val="15732BFE"/>
    <w:rsid w:val="1587361F"/>
    <w:rsid w:val="158F5643"/>
    <w:rsid w:val="15992D7D"/>
    <w:rsid w:val="159B4DF2"/>
    <w:rsid w:val="15B371AA"/>
    <w:rsid w:val="15BA1635"/>
    <w:rsid w:val="15C7430C"/>
    <w:rsid w:val="15CB3016"/>
    <w:rsid w:val="15D841AF"/>
    <w:rsid w:val="15E51DE3"/>
    <w:rsid w:val="162E31DC"/>
    <w:rsid w:val="163E350B"/>
    <w:rsid w:val="16526BE1"/>
    <w:rsid w:val="167417E7"/>
    <w:rsid w:val="16A07A97"/>
    <w:rsid w:val="16AB61CD"/>
    <w:rsid w:val="16AD15C0"/>
    <w:rsid w:val="16C0750E"/>
    <w:rsid w:val="17085D5D"/>
    <w:rsid w:val="170D06E0"/>
    <w:rsid w:val="172710E0"/>
    <w:rsid w:val="1752149D"/>
    <w:rsid w:val="175400B6"/>
    <w:rsid w:val="17685577"/>
    <w:rsid w:val="1777549E"/>
    <w:rsid w:val="178847A7"/>
    <w:rsid w:val="17B12497"/>
    <w:rsid w:val="17C6208D"/>
    <w:rsid w:val="17D46B3A"/>
    <w:rsid w:val="18365EE4"/>
    <w:rsid w:val="18477C1A"/>
    <w:rsid w:val="18516E84"/>
    <w:rsid w:val="18536E6C"/>
    <w:rsid w:val="185652D7"/>
    <w:rsid w:val="18696FCF"/>
    <w:rsid w:val="187A7FF0"/>
    <w:rsid w:val="188E75F7"/>
    <w:rsid w:val="18C3005F"/>
    <w:rsid w:val="18E45804"/>
    <w:rsid w:val="18E579A0"/>
    <w:rsid w:val="18E84F59"/>
    <w:rsid w:val="18EE0BF6"/>
    <w:rsid w:val="18F06D1A"/>
    <w:rsid w:val="18FF308F"/>
    <w:rsid w:val="190873AA"/>
    <w:rsid w:val="194E0714"/>
    <w:rsid w:val="1952133D"/>
    <w:rsid w:val="19BB4AC7"/>
    <w:rsid w:val="19C44E52"/>
    <w:rsid w:val="19E10262"/>
    <w:rsid w:val="1A163CDC"/>
    <w:rsid w:val="1A221E9E"/>
    <w:rsid w:val="1A3126E2"/>
    <w:rsid w:val="1A61176C"/>
    <w:rsid w:val="1A613215"/>
    <w:rsid w:val="1A7D2C4D"/>
    <w:rsid w:val="1A89314A"/>
    <w:rsid w:val="1A8D1E37"/>
    <w:rsid w:val="1A992E30"/>
    <w:rsid w:val="1A9D7B9A"/>
    <w:rsid w:val="1ABF5A2B"/>
    <w:rsid w:val="1AC15722"/>
    <w:rsid w:val="1B0E5D6B"/>
    <w:rsid w:val="1B1707C7"/>
    <w:rsid w:val="1B2B3823"/>
    <w:rsid w:val="1B437C67"/>
    <w:rsid w:val="1B7F1479"/>
    <w:rsid w:val="1B830E57"/>
    <w:rsid w:val="1BD01661"/>
    <w:rsid w:val="1BF9122C"/>
    <w:rsid w:val="1C0B0B13"/>
    <w:rsid w:val="1C117199"/>
    <w:rsid w:val="1C12049E"/>
    <w:rsid w:val="1C1366CD"/>
    <w:rsid w:val="1C26359D"/>
    <w:rsid w:val="1C3E6A0B"/>
    <w:rsid w:val="1C3F7939"/>
    <w:rsid w:val="1C492D57"/>
    <w:rsid w:val="1C5E46FA"/>
    <w:rsid w:val="1C7641C6"/>
    <w:rsid w:val="1C7B464A"/>
    <w:rsid w:val="1C84143D"/>
    <w:rsid w:val="1CA56440"/>
    <w:rsid w:val="1CB70350"/>
    <w:rsid w:val="1D0F0388"/>
    <w:rsid w:val="1D3C17F7"/>
    <w:rsid w:val="1D4937BB"/>
    <w:rsid w:val="1D5570CF"/>
    <w:rsid w:val="1D5D13BA"/>
    <w:rsid w:val="1DA408E8"/>
    <w:rsid w:val="1DB22149"/>
    <w:rsid w:val="1DC34C88"/>
    <w:rsid w:val="1DC60DE9"/>
    <w:rsid w:val="1DC73AF5"/>
    <w:rsid w:val="1DF24BAB"/>
    <w:rsid w:val="1DF35130"/>
    <w:rsid w:val="1E2D39D6"/>
    <w:rsid w:val="1E386A39"/>
    <w:rsid w:val="1E400EDD"/>
    <w:rsid w:val="1E641784"/>
    <w:rsid w:val="1E8E752D"/>
    <w:rsid w:val="1E9A4645"/>
    <w:rsid w:val="1EB236D4"/>
    <w:rsid w:val="1EC87346"/>
    <w:rsid w:val="1ED4001E"/>
    <w:rsid w:val="1EDD5C81"/>
    <w:rsid w:val="1EE23C66"/>
    <w:rsid w:val="1EE82F12"/>
    <w:rsid w:val="1EEC7B1D"/>
    <w:rsid w:val="1EFE02E4"/>
    <w:rsid w:val="1F2539C2"/>
    <w:rsid w:val="1F2963B7"/>
    <w:rsid w:val="1F2E18C7"/>
    <w:rsid w:val="1F2F66E5"/>
    <w:rsid w:val="1F64074D"/>
    <w:rsid w:val="1F682919"/>
    <w:rsid w:val="1F75782B"/>
    <w:rsid w:val="1F7F5EDD"/>
    <w:rsid w:val="1FA1088D"/>
    <w:rsid w:val="1FA638C6"/>
    <w:rsid w:val="1FB3079F"/>
    <w:rsid w:val="1FB56EB7"/>
    <w:rsid w:val="1FC7052F"/>
    <w:rsid w:val="1FCE47F9"/>
    <w:rsid w:val="1FF05470"/>
    <w:rsid w:val="1FF96B62"/>
    <w:rsid w:val="2009009E"/>
    <w:rsid w:val="205B427C"/>
    <w:rsid w:val="20615B52"/>
    <w:rsid w:val="20632740"/>
    <w:rsid w:val="206C4540"/>
    <w:rsid w:val="207D6BA5"/>
    <w:rsid w:val="20831F67"/>
    <w:rsid w:val="208C1555"/>
    <w:rsid w:val="209460E0"/>
    <w:rsid w:val="20AA6F98"/>
    <w:rsid w:val="20AE4FA9"/>
    <w:rsid w:val="20C75CD9"/>
    <w:rsid w:val="20D161ED"/>
    <w:rsid w:val="20FA0E09"/>
    <w:rsid w:val="20FA1ACB"/>
    <w:rsid w:val="21005C24"/>
    <w:rsid w:val="211F7986"/>
    <w:rsid w:val="21275F55"/>
    <w:rsid w:val="212B08C9"/>
    <w:rsid w:val="212F20CE"/>
    <w:rsid w:val="2186711E"/>
    <w:rsid w:val="21996EE4"/>
    <w:rsid w:val="21A26EE7"/>
    <w:rsid w:val="21E67457"/>
    <w:rsid w:val="21ED1C79"/>
    <w:rsid w:val="21FE1453"/>
    <w:rsid w:val="222158DE"/>
    <w:rsid w:val="22694385"/>
    <w:rsid w:val="226A39FD"/>
    <w:rsid w:val="229B7DD3"/>
    <w:rsid w:val="229F0914"/>
    <w:rsid w:val="22AE1C02"/>
    <w:rsid w:val="22C50781"/>
    <w:rsid w:val="22CC3892"/>
    <w:rsid w:val="22D35AC5"/>
    <w:rsid w:val="22DB76C7"/>
    <w:rsid w:val="22F464E8"/>
    <w:rsid w:val="22FA0524"/>
    <w:rsid w:val="23330BE3"/>
    <w:rsid w:val="233829F3"/>
    <w:rsid w:val="233911DB"/>
    <w:rsid w:val="23421386"/>
    <w:rsid w:val="23735EAD"/>
    <w:rsid w:val="23792271"/>
    <w:rsid w:val="238561DE"/>
    <w:rsid w:val="23990AB5"/>
    <w:rsid w:val="23B56E75"/>
    <w:rsid w:val="23C1340D"/>
    <w:rsid w:val="23F011CC"/>
    <w:rsid w:val="23F9694C"/>
    <w:rsid w:val="24002E88"/>
    <w:rsid w:val="240B0EA2"/>
    <w:rsid w:val="240B2444"/>
    <w:rsid w:val="24262DDA"/>
    <w:rsid w:val="24301DF9"/>
    <w:rsid w:val="24454213"/>
    <w:rsid w:val="244C194B"/>
    <w:rsid w:val="24513464"/>
    <w:rsid w:val="247263CB"/>
    <w:rsid w:val="24827593"/>
    <w:rsid w:val="248F4E23"/>
    <w:rsid w:val="24A01268"/>
    <w:rsid w:val="24A37A4B"/>
    <w:rsid w:val="24AC106B"/>
    <w:rsid w:val="24AF27FD"/>
    <w:rsid w:val="24BF4C2F"/>
    <w:rsid w:val="24D34D10"/>
    <w:rsid w:val="24D87094"/>
    <w:rsid w:val="24DC48FC"/>
    <w:rsid w:val="24DD7BF8"/>
    <w:rsid w:val="24E74595"/>
    <w:rsid w:val="24E77C9F"/>
    <w:rsid w:val="24EA2128"/>
    <w:rsid w:val="24FB4938"/>
    <w:rsid w:val="24FD3889"/>
    <w:rsid w:val="250019B6"/>
    <w:rsid w:val="25030FD4"/>
    <w:rsid w:val="2509671B"/>
    <w:rsid w:val="2522570B"/>
    <w:rsid w:val="25300390"/>
    <w:rsid w:val="253461A2"/>
    <w:rsid w:val="25536D9E"/>
    <w:rsid w:val="25622DF0"/>
    <w:rsid w:val="25D87525"/>
    <w:rsid w:val="25F2088A"/>
    <w:rsid w:val="26036329"/>
    <w:rsid w:val="26091924"/>
    <w:rsid w:val="261D6604"/>
    <w:rsid w:val="26B154E1"/>
    <w:rsid w:val="26B665B8"/>
    <w:rsid w:val="27010B86"/>
    <w:rsid w:val="27021562"/>
    <w:rsid w:val="2703128E"/>
    <w:rsid w:val="27156F2D"/>
    <w:rsid w:val="272E0B20"/>
    <w:rsid w:val="2740259C"/>
    <w:rsid w:val="27506D25"/>
    <w:rsid w:val="27695B13"/>
    <w:rsid w:val="277133FC"/>
    <w:rsid w:val="27765CCC"/>
    <w:rsid w:val="279F27E9"/>
    <w:rsid w:val="27AE47CA"/>
    <w:rsid w:val="27C22E19"/>
    <w:rsid w:val="27E2526A"/>
    <w:rsid w:val="27EF7A66"/>
    <w:rsid w:val="28381A9C"/>
    <w:rsid w:val="284617BE"/>
    <w:rsid w:val="285A3CC7"/>
    <w:rsid w:val="28645955"/>
    <w:rsid w:val="287160E3"/>
    <w:rsid w:val="288F44A3"/>
    <w:rsid w:val="28900714"/>
    <w:rsid w:val="28930D41"/>
    <w:rsid w:val="28B431E1"/>
    <w:rsid w:val="28B91030"/>
    <w:rsid w:val="28C26CFB"/>
    <w:rsid w:val="28CE46A9"/>
    <w:rsid w:val="28D73921"/>
    <w:rsid w:val="28EF7AB7"/>
    <w:rsid w:val="28F02DC0"/>
    <w:rsid w:val="291800E1"/>
    <w:rsid w:val="2922321B"/>
    <w:rsid w:val="29350B9F"/>
    <w:rsid w:val="29551422"/>
    <w:rsid w:val="295B0B0B"/>
    <w:rsid w:val="298635D9"/>
    <w:rsid w:val="29A03248"/>
    <w:rsid w:val="29C36C27"/>
    <w:rsid w:val="29CF6236"/>
    <w:rsid w:val="29D94010"/>
    <w:rsid w:val="29DB25DC"/>
    <w:rsid w:val="29F06C6A"/>
    <w:rsid w:val="2A024B5B"/>
    <w:rsid w:val="2A0B4CE6"/>
    <w:rsid w:val="2A4E6B5D"/>
    <w:rsid w:val="2A610472"/>
    <w:rsid w:val="2A6925F5"/>
    <w:rsid w:val="2A827ECE"/>
    <w:rsid w:val="2A836747"/>
    <w:rsid w:val="2A952A42"/>
    <w:rsid w:val="2A9554DA"/>
    <w:rsid w:val="2A997AF3"/>
    <w:rsid w:val="2AA17CDB"/>
    <w:rsid w:val="2AB770A3"/>
    <w:rsid w:val="2ABC2AA6"/>
    <w:rsid w:val="2ACD12EC"/>
    <w:rsid w:val="2AD46392"/>
    <w:rsid w:val="2AD57308"/>
    <w:rsid w:val="2B270026"/>
    <w:rsid w:val="2B483DAA"/>
    <w:rsid w:val="2B495844"/>
    <w:rsid w:val="2B4B5360"/>
    <w:rsid w:val="2B735935"/>
    <w:rsid w:val="2B7C7F35"/>
    <w:rsid w:val="2BA97AD8"/>
    <w:rsid w:val="2BCF1FE6"/>
    <w:rsid w:val="2BDF6B05"/>
    <w:rsid w:val="2BE17F88"/>
    <w:rsid w:val="2BE342BE"/>
    <w:rsid w:val="2BF67536"/>
    <w:rsid w:val="2BFD474A"/>
    <w:rsid w:val="2C087B5C"/>
    <w:rsid w:val="2C1D473E"/>
    <w:rsid w:val="2C293F03"/>
    <w:rsid w:val="2C502E2E"/>
    <w:rsid w:val="2C5801F0"/>
    <w:rsid w:val="2C635918"/>
    <w:rsid w:val="2C7D6330"/>
    <w:rsid w:val="2C87365C"/>
    <w:rsid w:val="2C912338"/>
    <w:rsid w:val="2CA04A4E"/>
    <w:rsid w:val="2CD90F69"/>
    <w:rsid w:val="2D0157F7"/>
    <w:rsid w:val="2D3958D7"/>
    <w:rsid w:val="2D685308"/>
    <w:rsid w:val="2D6906A3"/>
    <w:rsid w:val="2D7D7CCE"/>
    <w:rsid w:val="2D880661"/>
    <w:rsid w:val="2D8A2DEE"/>
    <w:rsid w:val="2DA059AE"/>
    <w:rsid w:val="2DB2482A"/>
    <w:rsid w:val="2DB27B52"/>
    <w:rsid w:val="2DC6633A"/>
    <w:rsid w:val="2DE2645A"/>
    <w:rsid w:val="2DE47F8D"/>
    <w:rsid w:val="2DFC4C81"/>
    <w:rsid w:val="2E0C4DEE"/>
    <w:rsid w:val="2E154CE2"/>
    <w:rsid w:val="2E1F13C7"/>
    <w:rsid w:val="2E620B52"/>
    <w:rsid w:val="2E681B4F"/>
    <w:rsid w:val="2E697E73"/>
    <w:rsid w:val="2E6D0438"/>
    <w:rsid w:val="2E773986"/>
    <w:rsid w:val="2E922CA1"/>
    <w:rsid w:val="2E935118"/>
    <w:rsid w:val="2EBA3BB2"/>
    <w:rsid w:val="2EBA43F7"/>
    <w:rsid w:val="2EBC3A8C"/>
    <w:rsid w:val="2ED508A6"/>
    <w:rsid w:val="2EDD0FB3"/>
    <w:rsid w:val="2EF00A12"/>
    <w:rsid w:val="2EF931B9"/>
    <w:rsid w:val="2F1151AE"/>
    <w:rsid w:val="2F1D27DA"/>
    <w:rsid w:val="2F21688E"/>
    <w:rsid w:val="2F3A3BDD"/>
    <w:rsid w:val="2F436F36"/>
    <w:rsid w:val="2F5E2060"/>
    <w:rsid w:val="2FAD3C4C"/>
    <w:rsid w:val="2FC52E95"/>
    <w:rsid w:val="2FC70985"/>
    <w:rsid w:val="2FDD3B12"/>
    <w:rsid w:val="2FEC412C"/>
    <w:rsid w:val="302D6FE8"/>
    <w:rsid w:val="30507543"/>
    <w:rsid w:val="308C2D3A"/>
    <w:rsid w:val="309438BB"/>
    <w:rsid w:val="30A80C32"/>
    <w:rsid w:val="30BB0F21"/>
    <w:rsid w:val="30C92400"/>
    <w:rsid w:val="310435AE"/>
    <w:rsid w:val="3138308A"/>
    <w:rsid w:val="314679A0"/>
    <w:rsid w:val="314C0871"/>
    <w:rsid w:val="31833B47"/>
    <w:rsid w:val="31DE67C2"/>
    <w:rsid w:val="31E83DC4"/>
    <w:rsid w:val="31E96171"/>
    <w:rsid w:val="321D26A2"/>
    <w:rsid w:val="323D460F"/>
    <w:rsid w:val="32444525"/>
    <w:rsid w:val="3245017E"/>
    <w:rsid w:val="32460A89"/>
    <w:rsid w:val="32542D9F"/>
    <w:rsid w:val="32674CE9"/>
    <w:rsid w:val="32E260F2"/>
    <w:rsid w:val="32FA22EA"/>
    <w:rsid w:val="33036B3C"/>
    <w:rsid w:val="33125C99"/>
    <w:rsid w:val="334006A1"/>
    <w:rsid w:val="3347497C"/>
    <w:rsid w:val="335B2CEF"/>
    <w:rsid w:val="335C0763"/>
    <w:rsid w:val="33A573E5"/>
    <w:rsid w:val="33A83285"/>
    <w:rsid w:val="33B444E3"/>
    <w:rsid w:val="33B61D77"/>
    <w:rsid w:val="33DA79F7"/>
    <w:rsid w:val="33F66251"/>
    <w:rsid w:val="341A50B9"/>
    <w:rsid w:val="34242DD7"/>
    <w:rsid w:val="342E7963"/>
    <w:rsid w:val="34487A03"/>
    <w:rsid w:val="348A0F3D"/>
    <w:rsid w:val="34931DC5"/>
    <w:rsid w:val="34BA7B72"/>
    <w:rsid w:val="34C208FD"/>
    <w:rsid w:val="34C42121"/>
    <w:rsid w:val="34C93367"/>
    <w:rsid w:val="34CF7A5C"/>
    <w:rsid w:val="34D71ED7"/>
    <w:rsid w:val="34D948C1"/>
    <w:rsid w:val="34DC663B"/>
    <w:rsid w:val="34EF10DF"/>
    <w:rsid w:val="350A1211"/>
    <w:rsid w:val="350B2911"/>
    <w:rsid w:val="35270A76"/>
    <w:rsid w:val="352F3CC3"/>
    <w:rsid w:val="35915FF2"/>
    <w:rsid w:val="35931348"/>
    <w:rsid w:val="35AF2B6B"/>
    <w:rsid w:val="35B349F5"/>
    <w:rsid w:val="35B55545"/>
    <w:rsid w:val="35DA79E4"/>
    <w:rsid w:val="35DC736B"/>
    <w:rsid w:val="35F35EBA"/>
    <w:rsid w:val="361017F3"/>
    <w:rsid w:val="361A2073"/>
    <w:rsid w:val="361F2B2E"/>
    <w:rsid w:val="363162CD"/>
    <w:rsid w:val="365A34BC"/>
    <w:rsid w:val="367D1CC0"/>
    <w:rsid w:val="3697162A"/>
    <w:rsid w:val="36A35890"/>
    <w:rsid w:val="36B12211"/>
    <w:rsid w:val="36CF1CD1"/>
    <w:rsid w:val="36D268DA"/>
    <w:rsid w:val="36D46208"/>
    <w:rsid w:val="36E6678C"/>
    <w:rsid w:val="37270B12"/>
    <w:rsid w:val="37296A11"/>
    <w:rsid w:val="374201B2"/>
    <w:rsid w:val="37910FBB"/>
    <w:rsid w:val="379466BC"/>
    <w:rsid w:val="37B63FD5"/>
    <w:rsid w:val="37B73543"/>
    <w:rsid w:val="37CD313B"/>
    <w:rsid w:val="37F7681F"/>
    <w:rsid w:val="38290394"/>
    <w:rsid w:val="384F6DEF"/>
    <w:rsid w:val="386436F9"/>
    <w:rsid w:val="386B671F"/>
    <w:rsid w:val="38745BDC"/>
    <w:rsid w:val="38787311"/>
    <w:rsid w:val="38DD7206"/>
    <w:rsid w:val="38E8138C"/>
    <w:rsid w:val="38ED2171"/>
    <w:rsid w:val="39014694"/>
    <w:rsid w:val="394F7E71"/>
    <w:rsid w:val="395E1F57"/>
    <w:rsid w:val="39623434"/>
    <w:rsid w:val="39742B6E"/>
    <w:rsid w:val="398169AA"/>
    <w:rsid w:val="39840DF5"/>
    <w:rsid w:val="39896223"/>
    <w:rsid w:val="398D267C"/>
    <w:rsid w:val="39916502"/>
    <w:rsid w:val="39A12615"/>
    <w:rsid w:val="39B63576"/>
    <w:rsid w:val="39C63990"/>
    <w:rsid w:val="39F054BC"/>
    <w:rsid w:val="3A1273C6"/>
    <w:rsid w:val="3A5913BB"/>
    <w:rsid w:val="3A596110"/>
    <w:rsid w:val="3A5B144E"/>
    <w:rsid w:val="3A661D2A"/>
    <w:rsid w:val="3A6D15D5"/>
    <w:rsid w:val="3A744068"/>
    <w:rsid w:val="3A7C3B81"/>
    <w:rsid w:val="3A7C76E6"/>
    <w:rsid w:val="3A8E53C6"/>
    <w:rsid w:val="3A941A03"/>
    <w:rsid w:val="3AA50FA5"/>
    <w:rsid w:val="3AB10B58"/>
    <w:rsid w:val="3ACA5CF2"/>
    <w:rsid w:val="3ACB4F85"/>
    <w:rsid w:val="3AD47C3D"/>
    <w:rsid w:val="3AE44D80"/>
    <w:rsid w:val="3B027CA5"/>
    <w:rsid w:val="3B495853"/>
    <w:rsid w:val="3B55226B"/>
    <w:rsid w:val="3B5F6A12"/>
    <w:rsid w:val="3B6E4116"/>
    <w:rsid w:val="3B736697"/>
    <w:rsid w:val="3B8C75C1"/>
    <w:rsid w:val="3BCA2611"/>
    <w:rsid w:val="3BD3531D"/>
    <w:rsid w:val="3BE17CB6"/>
    <w:rsid w:val="3BE83169"/>
    <w:rsid w:val="3BEE2461"/>
    <w:rsid w:val="3BF450DF"/>
    <w:rsid w:val="3BF5780A"/>
    <w:rsid w:val="3C2B4FD9"/>
    <w:rsid w:val="3C393BF0"/>
    <w:rsid w:val="3C4F28CB"/>
    <w:rsid w:val="3CC43715"/>
    <w:rsid w:val="3CD2058F"/>
    <w:rsid w:val="3CDF116D"/>
    <w:rsid w:val="3CE71BD8"/>
    <w:rsid w:val="3CE854C3"/>
    <w:rsid w:val="3CE974FE"/>
    <w:rsid w:val="3CF1357C"/>
    <w:rsid w:val="3CFD72F1"/>
    <w:rsid w:val="3D1C1B1B"/>
    <w:rsid w:val="3D22095C"/>
    <w:rsid w:val="3D3E408C"/>
    <w:rsid w:val="3D4876A7"/>
    <w:rsid w:val="3D7570E2"/>
    <w:rsid w:val="3D8511FD"/>
    <w:rsid w:val="3D9D10D7"/>
    <w:rsid w:val="3DA0306D"/>
    <w:rsid w:val="3DEE5B6E"/>
    <w:rsid w:val="3DF80EEB"/>
    <w:rsid w:val="3E0B1A53"/>
    <w:rsid w:val="3E11500D"/>
    <w:rsid w:val="3E145B54"/>
    <w:rsid w:val="3E4012AA"/>
    <w:rsid w:val="3E4F7FB1"/>
    <w:rsid w:val="3E526EF8"/>
    <w:rsid w:val="3EB820AB"/>
    <w:rsid w:val="3EC00503"/>
    <w:rsid w:val="3ED507F0"/>
    <w:rsid w:val="3ED63B0D"/>
    <w:rsid w:val="3EEF4D65"/>
    <w:rsid w:val="3F29425F"/>
    <w:rsid w:val="3F530871"/>
    <w:rsid w:val="3F79455A"/>
    <w:rsid w:val="3F815EBD"/>
    <w:rsid w:val="3FAA306C"/>
    <w:rsid w:val="3FB8669C"/>
    <w:rsid w:val="3FC65745"/>
    <w:rsid w:val="3FD00D2C"/>
    <w:rsid w:val="3FD61AE1"/>
    <w:rsid w:val="3FE54E65"/>
    <w:rsid w:val="3FFD2A09"/>
    <w:rsid w:val="400F1738"/>
    <w:rsid w:val="40145235"/>
    <w:rsid w:val="40493F4B"/>
    <w:rsid w:val="405939A2"/>
    <w:rsid w:val="40825A19"/>
    <w:rsid w:val="40843FCF"/>
    <w:rsid w:val="40A97C0F"/>
    <w:rsid w:val="40AD3A00"/>
    <w:rsid w:val="40BF6101"/>
    <w:rsid w:val="40E2634C"/>
    <w:rsid w:val="40FB32D3"/>
    <w:rsid w:val="41034CF5"/>
    <w:rsid w:val="410B0CD6"/>
    <w:rsid w:val="410D0EC7"/>
    <w:rsid w:val="41441021"/>
    <w:rsid w:val="414A2058"/>
    <w:rsid w:val="41624AEF"/>
    <w:rsid w:val="416A59DD"/>
    <w:rsid w:val="41856E64"/>
    <w:rsid w:val="41AE0A50"/>
    <w:rsid w:val="41BA71A9"/>
    <w:rsid w:val="41CA6CFC"/>
    <w:rsid w:val="41D62093"/>
    <w:rsid w:val="41E22FCD"/>
    <w:rsid w:val="420C7023"/>
    <w:rsid w:val="42112CF3"/>
    <w:rsid w:val="42267E67"/>
    <w:rsid w:val="42341804"/>
    <w:rsid w:val="423F253E"/>
    <w:rsid w:val="426E780A"/>
    <w:rsid w:val="42A10D91"/>
    <w:rsid w:val="42C6630B"/>
    <w:rsid w:val="42E37862"/>
    <w:rsid w:val="42F12018"/>
    <w:rsid w:val="431A025D"/>
    <w:rsid w:val="43210932"/>
    <w:rsid w:val="43254FF0"/>
    <w:rsid w:val="43684D31"/>
    <w:rsid w:val="437234EE"/>
    <w:rsid w:val="43BF1735"/>
    <w:rsid w:val="43C07F16"/>
    <w:rsid w:val="43D438FB"/>
    <w:rsid w:val="43E35084"/>
    <w:rsid w:val="43F121F5"/>
    <w:rsid w:val="440F355B"/>
    <w:rsid w:val="44141C79"/>
    <w:rsid w:val="44313BAC"/>
    <w:rsid w:val="44461CA2"/>
    <w:rsid w:val="444634B9"/>
    <w:rsid w:val="44586524"/>
    <w:rsid w:val="447667BF"/>
    <w:rsid w:val="4491178A"/>
    <w:rsid w:val="449262C0"/>
    <w:rsid w:val="44AE35BC"/>
    <w:rsid w:val="44E9746A"/>
    <w:rsid w:val="450E1B70"/>
    <w:rsid w:val="451A1B5E"/>
    <w:rsid w:val="45504540"/>
    <w:rsid w:val="45580516"/>
    <w:rsid w:val="455A248C"/>
    <w:rsid w:val="458A6B7F"/>
    <w:rsid w:val="45957697"/>
    <w:rsid w:val="45BC4EF4"/>
    <w:rsid w:val="45E51965"/>
    <w:rsid w:val="45ED351D"/>
    <w:rsid w:val="45ED53DD"/>
    <w:rsid w:val="45F52F7D"/>
    <w:rsid w:val="461131F2"/>
    <w:rsid w:val="4635384D"/>
    <w:rsid w:val="4657593E"/>
    <w:rsid w:val="46603798"/>
    <w:rsid w:val="46753259"/>
    <w:rsid w:val="467E5579"/>
    <w:rsid w:val="46A10B94"/>
    <w:rsid w:val="46B33AEC"/>
    <w:rsid w:val="46CD7C95"/>
    <w:rsid w:val="46D63D94"/>
    <w:rsid w:val="46DF3D79"/>
    <w:rsid w:val="46F7344B"/>
    <w:rsid w:val="471E7EBD"/>
    <w:rsid w:val="47241DC7"/>
    <w:rsid w:val="473E03F2"/>
    <w:rsid w:val="47946A7A"/>
    <w:rsid w:val="479611CC"/>
    <w:rsid w:val="47974FD9"/>
    <w:rsid w:val="47B05F6F"/>
    <w:rsid w:val="47D42E31"/>
    <w:rsid w:val="47D77762"/>
    <w:rsid w:val="47EB2184"/>
    <w:rsid w:val="47EF7D43"/>
    <w:rsid w:val="47FC0534"/>
    <w:rsid w:val="48066B36"/>
    <w:rsid w:val="480D13DA"/>
    <w:rsid w:val="480E23EA"/>
    <w:rsid w:val="4847665D"/>
    <w:rsid w:val="484B59C9"/>
    <w:rsid w:val="48610284"/>
    <w:rsid w:val="48955120"/>
    <w:rsid w:val="48CD4DB2"/>
    <w:rsid w:val="48D013DC"/>
    <w:rsid w:val="48D32A07"/>
    <w:rsid w:val="48D90193"/>
    <w:rsid w:val="48EB3F71"/>
    <w:rsid w:val="491D57CF"/>
    <w:rsid w:val="49233A8B"/>
    <w:rsid w:val="492729F4"/>
    <w:rsid w:val="49511A2B"/>
    <w:rsid w:val="4972456E"/>
    <w:rsid w:val="49734B0E"/>
    <w:rsid w:val="49A15336"/>
    <w:rsid w:val="49B4660E"/>
    <w:rsid w:val="49B87801"/>
    <w:rsid w:val="49C633FD"/>
    <w:rsid w:val="49EB2ABD"/>
    <w:rsid w:val="49EC5F1F"/>
    <w:rsid w:val="49F04DE4"/>
    <w:rsid w:val="4A0F0210"/>
    <w:rsid w:val="4A7F3064"/>
    <w:rsid w:val="4A804CB1"/>
    <w:rsid w:val="4A881832"/>
    <w:rsid w:val="4A8D6AB1"/>
    <w:rsid w:val="4A932C01"/>
    <w:rsid w:val="4AA10E14"/>
    <w:rsid w:val="4AA237E4"/>
    <w:rsid w:val="4AB443EC"/>
    <w:rsid w:val="4ACB7590"/>
    <w:rsid w:val="4ADE47A9"/>
    <w:rsid w:val="4B134E55"/>
    <w:rsid w:val="4B1A6144"/>
    <w:rsid w:val="4B26714A"/>
    <w:rsid w:val="4B3E2966"/>
    <w:rsid w:val="4B41517A"/>
    <w:rsid w:val="4B522D9C"/>
    <w:rsid w:val="4B804CFE"/>
    <w:rsid w:val="4B840C7F"/>
    <w:rsid w:val="4B923A2A"/>
    <w:rsid w:val="4BB83589"/>
    <w:rsid w:val="4BD641F8"/>
    <w:rsid w:val="4BDA176B"/>
    <w:rsid w:val="4BF34D83"/>
    <w:rsid w:val="4C090181"/>
    <w:rsid w:val="4C3407BA"/>
    <w:rsid w:val="4C597343"/>
    <w:rsid w:val="4C605117"/>
    <w:rsid w:val="4C7D5AE9"/>
    <w:rsid w:val="4C8D317F"/>
    <w:rsid w:val="4C9408A9"/>
    <w:rsid w:val="4C9C51A1"/>
    <w:rsid w:val="4CBC68E4"/>
    <w:rsid w:val="4CFD416E"/>
    <w:rsid w:val="4D1B519A"/>
    <w:rsid w:val="4D3D5DFA"/>
    <w:rsid w:val="4D472ED5"/>
    <w:rsid w:val="4D5A7680"/>
    <w:rsid w:val="4D6E227A"/>
    <w:rsid w:val="4D974BC9"/>
    <w:rsid w:val="4DA841F4"/>
    <w:rsid w:val="4DD06D5E"/>
    <w:rsid w:val="4DD85C27"/>
    <w:rsid w:val="4E000105"/>
    <w:rsid w:val="4E102281"/>
    <w:rsid w:val="4E214613"/>
    <w:rsid w:val="4E3B25C2"/>
    <w:rsid w:val="4E516010"/>
    <w:rsid w:val="4E634279"/>
    <w:rsid w:val="4E6423A8"/>
    <w:rsid w:val="4E6B35C5"/>
    <w:rsid w:val="4E736B72"/>
    <w:rsid w:val="4ED66E64"/>
    <w:rsid w:val="4EE71234"/>
    <w:rsid w:val="4F2752D5"/>
    <w:rsid w:val="4F360B64"/>
    <w:rsid w:val="4F404A7D"/>
    <w:rsid w:val="4F460D00"/>
    <w:rsid w:val="4F6A6227"/>
    <w:rsid w:val="4F7B20A3"/>
    <w:rsid w:val="4F871206"/>
    <w:rsid w:val="4F9B7EA7"/>
    <w:rsid w:val="4FAD1A93"/>
    <w:rsid w:val="4FB355BA"/>
    <w:rsid w:val="4FFB1D39"/>
    <w:rsid w:val="4FFF7437"/>
    <w:rsid w:val="500F7AC6"/>
    <w:rsid w:val="501F46ED"/>
    <w:rsid w:val="50327120"/>
    <w:rsid w:val="50857C3E"/>
    <w:rsid w:val="50963D58"/>
    <w:rsid w:val="50B1469B"/>
    <w:rsid w:val="50BC3FFA"/>
    <w:rsid w:val="50CE3D8F"/>
    <w:rsid w:val="51014BCF"/>
    <w:rsid w:val="51016ABE"/>
    <w:rsid w:val="5107796B"/>
    <w:rsid w:val="51104ABC"/>
    <w:rsid w:val="511F2A4C"/>
    <w:rsid w:val="51547174"/>
    <w:rsid w:val="51CD67EE"/>
    <w:rsid w:val="51FF0643"/>
    <w:rsid w:val="5208553D"/>
    <w:rsid w:val="52136923"/>
    <w:rsid w:val="523009D3"/>
    <w:rsid w:val="523E5EFC"/>
    <w:rsid w:val="52467C6C"/>
    <w:rsid w:val="52AF3838"/>
    <w:rsid w:val="52C6617B"/>
    <w:rsid w:val="530F4056"/>
    <w:rsid w:val="53223693"/>
    <w:rsid w:val="53242F2F"/>
    <w:rsid w:val="532A0F80"/>
    <w:rsid w:val="53366A18"/>
    <w:rsid w:val="536B3982"/>
    <w:rsid w:val="537D3317"/>
    <w:rsid w:val="53BF7DC7"/>
    <w:rsid w:val="54021E88"/>
    <w:rsid w:val="540C54DA"/>
    <w:rsid w:val="541C5FC3"/>
    <w:rsid w:val="5429490E"/>
    <w:rsid w:val="54380C12"/>
    <w:rsid w:val="545355FC"/>
    <w:rsid w:val="54594B42"/>
    <w:rsid w:val="54724B97"/>
    <w:rsid w:val="549E5793"/>
    <w:rsid w:val="54A019B1"/>
    <w:rsid w:val="54A62B58"/>
    <w:rsid w:val="54B34707"/>
    <w:rsid w:val="54C376FD"/>
    <w:rsid w:val="54E218E9"/>
    <w:rsid w:val="54EA7388"/>
    <w:rsid w:val="54FA68E1"/>
    <w:rsid w:val="54FB7079"/>
    <w:rsid w:val="55121C25"/>
    <w:rsid w:val="55145A25"/>
    <w:rsid w:val="552233B6"/>
    <w:rsid w:val="55484722"/>
    <w:rsid w:val="554B500A"/>
    <w:rsid w:val="5561087C"/>
    <w:rsid w:val="55806C15"/>
    <w:rsid w:val="559119F9"/>
    <w:rsid w:val="55CA644D"/>
    <w:rsid w:val="561435D9"/>
    <w:rsid w:val="56190C25"/>
    <w:rsid w:val="56193C4E"/>
    <w:rsid w:val="561D553B"/>
    <w:rsid w:val="5623476F"/>
    <w:rsid w:val="565319AC"/>
    <w:rsid w:val="56635347"/>
    <w:rsid w:val="566C774E"/>
    <w:rsid w:val="56705FB3"/>
    <w:rsid w:val="5691743D"/>
    <w:rsid w:val="5697231E"/>
    <w:rsid w:val="56B66997"/>
    <w:rsid w:val="57036F4D"/>
    <w:rsid w:val="57147E27"/>
    <w:rsid w:val="5716066D"/>
    <w:rsid w:val="572A4DA7"/>
    <w:rsid w:val="573E5FAE"/>
    <w:rsid w:val="57623B4D"/>
    <w:rsid w:val="576D6E89"/>
    <w:rsid w:val="57BB4477"/>
    <w:rsid w:val="57C5788A"/>
    <w:rsid w:val="57D1046F"/>
    <w:rsid w:val="580B437F"/>
    <w:rsid w:val="58141314"/>
    <w:rsid w:val="58345199"/>
    <w:rsid w:val="58360460"/>
    <w:rsid w:val="583A1066"/>
    <w:rsid w:val="583A12D3"/>
    <w:rsid w:val="5845684B"/>
    <w:rsid w:val="58535244"/>
    <w:rsid w:val="588338CE"/>
    <w:rsid w:val="588562C6"/>
    <w:rsid w:val="58C546FC"/>
    <w:rsid w:val="58CC1C2F"/>
    <w:rsid w:val="58D05A4E"/>
    <w:rsid w:val="58DF043A"/>
    <w:rsid w:val="58E879B4"/>
    <w:rsid w:val="58EB14ED"/>
    <w:rsid w:val="58F402B7"/>
    <w:rsid w:val="58F94086"/>
    <w:rsid w:val="59041E62"/>
    <w:rsid w:val="591C05BA"/>
    <w:rsid w:val="592963EE"/>
    <w:rsid w:val="59645E41"/>
    <w:rsid w:val="597D3FD7"/>
    <w:rsid w:val="59A96428"/>
    <w:rsid w:val="59B937CD"/>
    <w:rsid w:val="59BD7D4C"/>
    <w:rsid w:val="59CA1E28"/>
    <w:rsid w:val="59E2677C"/>
    <w:rsid w:val="59F22381"/>
    <w:rsid w:val="5A0A3C4C"/>
    <w:rsid w:val="5A0E6AC9"/>
    <w:rsid w:val="5A10068C"/>
    <w:rsid w:val="5A1F3C9F"/>
    <w:rsid w:val="5A230E46"/>
    <w:rsid w:val="5A3B1B98"/>
    <w:rsid w:val="5A4A04C4"/>
    <w:rsid w:val="5A512D05"/>
    <w:rsid w:val="5A76409B"/>
    <w:rsid w:val="5A8D6427"/>
    <w:rsid w:val="5A9F740E"/>
    <w:rsid w:val="5ACB023E"/>
    <w:rsid w:val="5AD7215D"/>
    <w:rsid w:val="5AD74C79"/>
    <w:rsid w:val="5ADA55D6"/>
    <w:rsid w:val="5ADD12B3"/>
    <w:rsid w:val="5AE767C7"/>
    <w:rsid w:val="5AF753B3"/>
    <w:rsid w:val="5B0C3155"/>
    <w:rsid w:val="5B3100E9"/>
    <w:rsid w:val="5B3402E5"/>
    <w:rsid w:val="5B4867ED"/>
    <w:rsid w:val="5B597509"/>
    <w:rsid w:val="5B955D19"/>
    <w:rsid w:val="5BA6663B"/>
    <w:rsid w:val="5BB5653A"/>
    <w:rsid w:val="5BC71626"/>
    <w:rsid w:val="5BE00ECF"/>
    <w:rsid w:val="5C18110A"/>
    <w:rsid w:val="5C21585B"/>
    <w:rsid w:val="5C3D06FA"/>
    <w:rsid w:val="5C6C56DF"/>
    <w:rsid w:val="5C7310D8"/>
    <w:rsid w:val="5C8F2446"/>
    <w:rsid w:val="5CA91DA1"/>
    <w:rsid w:val="5CC02454"/>
    <w:rsid w:val="5CCB6F07"/>
    <w:rsid w:val="5CF52100"/>
    <w:rsid w:val="5D001201"/>
    <w:rsid w:val="5D037AF1"/>
    <w:rsid w:val="5D0A22E0"/>
    <w:rsid w:val="5D150A6A"/>
    <w:rsid w:val="5D8B2F52"/>
    <w:rsid w:val="5DBB03E7"/>
    <w:rsid w:val="5DC85F72"/>
    <w:rsid w:val="5DD52A57"/>
    <w:rsid w:val="5DDE5B0D"/>
    <w:rsid w:val="5DDE71ED"/>
    <w:rsid w:val="5E066675"/>
    <w:rsid w:val="5E261785"/>
    <w:rsid w:val="5E2C2B91"/>
    <w:rsid w:val="5E3A7034"/>
    <w:rsid w:val="5E3B5FFA"/>
    <w:rsid w:val="5E5B5CE3"/>
    <w:rsid w:val="5E802CF4"/>
    <w:rsid w:val="5EA04A47"/>
    <w:rsid w:val="5EAB6AC3"/>
    <w:rsid w:val="5EB84FFA"/>
    <w:rsid w:val="5EBF3F02"/>
    <w:rsid w:val="5EF512F7"/>
    <w:rsid w:val="5F0E25B0"/>
    <w:rsid w:val="5F2303A3"/>
    <w:rsid w:val="5F317B35"/>
    <w:rsid w:val="5F3D3757"/>
    <w:rsid w:val="5F5B3779"/>
    <w:rsid w:val="5F8F4438"/>
    <w:rsid w:val="5FB3698D"/>
    <w:rsid w:val="5FF01D11"/>
    <w:rsid w:val="5FFE5B76"/>
    <w:rsid w:val="600A6B30"/>
    <w:rsid w:val="60197B26"/>
    <w:rsid w:val="601C3AF6"/>
    <w:rsid w:val="60212844"/>
    <w:rsid w:val="60702B8E"/>
    <w:rsid w:val="60723660"/>
    <w:rsid w:val="609A399F"/>
    <w:rsid w:val="60C5360C"/>
    <w:rsid w:val="60E01578"/>
    <w:rsid w:val="60F8050C"/>
    <w:rsid w:val="610926C9"/>
    <w:rsid w:val="61274038"/>
    <w:rsid w:val="613937FC"/>
    <w:rsid w:val="61580A68"/>
    <w:rsid w:val="616A2E99"/>
    <w:rsid w:val="616D2866"/>
    <w:rsid w:val="61834A0A"/>
    <w:rsid w:val="6188051A"/>
    <w:rsid w:val="61AB3FD4"/>
    <w:rsid w:val="61BD563F"/>
    <w:rsid w:val="61EF7CBE"/>
    <w:rsid w:val="61FB0E95"/>
    <w:rsid w:val="620E24F9"/>
    <w:rsid w:val="62114BAF"/>
    <w:rsid w:val="621B0C87"/>
    <w:rsid w:val="622429E7"/>
    <w:rsid w:val="62284ADD"/>
    <w:rsid w:val="622D6193"/>
    <w:rsid w:val="623027A3"/>
    <w:rsid w:val="624626AF"/>
    <w:rsid w:val="624A4A5E"/>
    <w:rsid w:val="62A15100"/>
    <w:rsid w:val="62AA60ED"/>
    <w:rsid w:val="62C92AAA"/>
    <w:rsid w:val="62E0477B"/>
    <w:rsid w:val="62EB252C"/>
    <w:rsid w:val="62EE3C5C"/>
    <w:rsid w:val="62F02A5B"/>
    <w:rsid w:val="6304769E"/>
    <w:rsid w:val="630D7B9A"/>
    <w:rsid w:val="63311493"/>
    <w:rsid w:val="634F29FC"/>
    <w:rsid w:val="6375245C"/>
    <w:rsid w:val="63843F9C"/>
    <w:rsid w:val="638D33AF"/>
    <w:rsid w:val="63976E94"/>
    <w:rsid w:val="63BE7B3E"/>
    <w:rsid w:val="63C239D4"/>
    <w:rsid w:val="640771FF"/>
    <w:rsid w:val="640D40B4"/>
    <w:rsid w:val="640E544A"/>
    <w:rsid w:val="64194ED7"/>
    <w:rsid w:val="643269EB"/>
    <w:rsid w:val="64406502"/>
    <w:rsid w:val="644B645C"/>
    <w:rsid w:val="64522E60"/>
    <w:rsid w:val="64600BCD"/>
    <w:rsid w:val="64615698"/>
    <w:rsid w:val="64806698"/>
    <w:rsid w:val="64A22938"/>
    <w:rsid w:val="64A33CA1"/>
    <w:rsid w:val="64CE08EF"/>
    <w:rsid w:val="64D84A81"/>
    <w:rsid w:val="64EC3F11"/>
    <w:rsid w:val="64FD65FA"/>
    <w:rsid w:val="65186542"/>
    <w:rsid w:val="651F20A3"/>
    <w:rsid w:val="652A04EC"/>
    <w:rsid w:val="65391F5B"/>
    <w:rsid w:val="653A164E"/>
    <w:rsid w:val="65515894"/>
    <w:rsid w:val="65752381"/>
    <w:rsid w:val="657E1193"/>
    <w:rsid w:val="65841A36"/>
    <w:rsid w:val="658713A2"/>
    <w:rsid w:val="658D7F05"/>
    <w:rsid w:val="65963A58"/>
    <w:rsid w:val="65EC327E"/>
    <w:rsid w:val="66083B12"/>
    <w:rsid w:val="6618717B"/>
    <w:rsid w:val="66722AC9"/>
    <w:rsid w:val="667B3E2D"/>
    <w:rsid w:val="66887756"/>
    <w:rsid w:val="668F53E6"/>
    <w:rsid w:val="66955972"/>
    <w:rsid w:val="66D37B30"/>
    <w:rsid w:val="66DF3E2E"/>
    <w:rsid w:val="66F642FC"/>
    <w:rsid w:val="67127453"/>
    <w:rsid w:val="674351B6"/>
    <w:rsid w:val="675800B4"/>
    <w:rsid w:val="67603D10"/>
    <w:rsid w:val="677A1C3C"/>
    <w:rsid w:val="67BD77A0"/>
    <w:rsid w:val="67D94EF9"/>
    <w:rsid w:val="67E44CD9"/>
    <w:rsid w:val="68005221"/>
    <w:rsid w:val="680737E2"/>
    <w:rsid w:val="6826136B"/>
    <w:rsid w:val="68347D07"/>
    <w:rsid w:val="68520577"/>
    <w:rsid w:val="685620EC"/>
    <w:rsid w:val="68770863"/>
    <w:rsid w:val="687B69C0"/>
    <w:rsid w:val="68B57725"/>
    <w:rsid w:val="68D871D9"/>
    <w:rsid w:val="68F34E22"/>
    <w:rsid w:val="690C7EAD"/>
    <w:rsid w:val="69114FC1"/>
    <w:rsid w:val="69237AE6"/>
    <w:rsid w:val="692D18EF"/>
    <w:rsid w:val="69395FF8"/>
    <w:rsid w:val="694A6510"/>
    <w:rsid w:val="694E0452"/>
    <w:rsid w:val="695224F5"/>
    <w:rsid w:val="6955348D"/>
    <w:rsid w:val="695C1AB7"/>
    <w:rsid w:val="69A2427D"/>
    <w:rsid w:val="69C61397"/>
    <w:rsid w:val="69D37417"/>
    <w:rsid w:val="69EE2AE5"/>
    <w:rsid w:val="69F91608"/>
    <w:rsid w:val="69FA1987"/>
    <w:rsid w:val="6A552EAE"/>
    <w:rsid w:val="6A5D019F"/>
    <w:rsid w:val="6A717C75"/>
    <w:rsid w:val="6A7A2F7F"/>
    <w:rsid w:val="6A7C5106"/>
    <w:rsid w:val="6A8F3B80"/>
    <w:rsid w:val="6AB9525A"/>
    <w:rsid w:val="6B127A04"/>
    <w:rsid w:val="6B345DB0"/>
    <w:rsid w:val="6B3602F4"/>
    <w:rsid w:val="6B3B3DFE"/>
    <w:rsid w:val="6B3D03CE"/>
    <w:rsid w:val="6B587491"/>
    <w:rsid w:val="6B596405"/>
    <w:rsid w:val="6B8579B3"/>
    <w:rsid w:val="6B981494"/>
    <w:rsid w:val="6B99147A"/>
    <w:rsid w:val="6BB12A62"/>
    <w:rsid w:val="6BB50E33"/>
    <w:rsid w:val="6C0B7E6E"/>
    <w:rsid w:val="6C1A684A"/>
    <w:rsid w:val="6C3C2B31"/>
    <w:rsid w:val="6C3F74A2"/>
    <w:rsid w:val="6C43753A"/>
    <w:rsid w:val="6C453DA8"/>
    <w:rsid w:val="6C5938CE"/>
    <w:rsid w:val="6CBA19D1"/>
    <w:rsid w:val="6CC92F60"/>
    <w:rsid w:val="6CFA0085"/>
    <w:rsid w:val="6D02771A"/>
    <w:rsid w:val="6D0C7D98"/>
    <w:rsid w:val="6D23209D"/>
    <w:rsid w:val="6D253C9A"/>
    <w:rsid w:val="6D2543B7"/>
    <w:rsid w:val="6D42158E"/>
    <w:rsid w:val="6D455B30"/>
    <w:rsid w:val="6D5F4251"/>
    <w:rsid w:val="6D743334"/>
    <w:rsid w:val="6D77157D"/>
    <w:rsid w:val="6D850B36"/>
    <w:rsid w:val="6D8E61F1"/>
    <w:rsid w:val="6DB8432E"/>
    <w:rsid w:val="6DD53539"/>
    <w:rsid w:val="6DF1016C"/>
    <w:rsid w:val="6E1029FA"/>
    <w:rsid w:val="6E193C1E"/>
    <w:rsid w:val="6E285ADD"/>
    <w:rsid w:val="6E2F001B"/>
    <w:rsid w:val="6E404B87"/>
    <w:rsid w:val="6E562DF2"/>
    <w:rsid w:val="6E5B69FB"/>
    <w:rsid w:val="6E5E7E76"/>
    <w:rsid w:val="6E8653D5"/>
    <w:rsid w:val="6E8D13A2"/>
    <w:rsid w:val="6E974B1A"/>
    <w:rsid w:val="6E9B373A"/>
    <w:rsid w:val="6E9D4BA8"/>
    <w:rsid w:val="6E9F0D8B"/>
    <w:rsid w:val="6EA87715"/>
    <w:rsid w:val="6EAA5E79"/>
    <w:rsid w:val="6EBE5584"/>
    <w:rsid w:val="6ECE2B85"/>
    <w:rsid w:val="6EFB1CC2"/>
    <w:rsid w:val="6EFE2DA9"/>
    <w:rsid w:val="6F2814E0"/>
    <w:rsid w:val="6F3E6D4B"/>
    <w:rsid w:val="6F413935"/>
    <w:rsid w:val="6F467788"/>
    <w:rsid w:val="6F4858F7"/>
    <w:rsid w:val="6F525579"/>
    <w:rsid w:val="6F5F0E86"/>
    <w:rsid w:val="6F795A8B"/>
    <w:rsid w:val="6FA2221B"/>
    <w:rsid w:val="6FAB7BBF"/>
    <w:rsid w:val="6FAD6807"/>
    <w:rsid w:val="6FBC6589"/>
    <w:rsid w:val="70292F3F"/>
    <w:rsid w:val="7048083C"/>
    <w:rsid w:val="704F734E"/>
    <w:rsid w:val="707029DF"/>
    <w:rsid w:val="70B06C3A"/>
    <w:rsid w:val="70B54896"/>
    <w:rsid w:val="70E60700"/>
    <w:rsid w:val="70EF55D6"/>
    <w:rsid w:val="71157B90"/>
    <w:rsid w:val="71275730"/>
    <w:rsid w:val="712E3E73"/>
    <w:rsid w:val="713F4BAE"/>
    <w:rsid w:val="716952A0"/>
    <w:rsid w:val="717209D9"/>
    <w:rsid w:val="71731C06"/>
    <w:rsid w:val="71740A5F"/>
    <w:rsid w:val="717C2E0B"/>
    <w:rsid w:val="719829AE"/>
    <w:rsid w:val="71F122CA"/>
    <w:rsid w:val="71F41601"/>
    <w:rsid w:val="720921E7"/>
    <w:rsid w:val="72220461"/>
    <w:rsid w:val="7226138C"/>
    <w:rsid w:val="722978DD"/>
    <w:rsid w:val="72457E9C"/>
    <w:rsid w:val="72526D31"/>
    <w:rsid w:val="725603A7"/>
    <w:rsid w:val="725E749B"/>
    <w:rsid w:val="72643840"/>
    <w:rsid w:val="727275E0"/>
    <w:rsid w:val="727C2D17"/>
    <w:rsid w:val="72A16523"/>
    <w:rsid w:val="72B02290"/>
    <w:rsid w:val="72B03F84"/>
    <w:rsid w:val="72B6051B"/>
    <w:rsid w:val="72B903EB"/>
    <w:rsid w:val="72E7631C"/>
    <w:rsid w:val="72FD221B"/>
    <w:rsid w:val="73015847"/>
    <w:rsid w:val="730A78B9"/>
    <w:rsid w:val="730B4C41"/>
    <w:rsid w:val="731E366D"/>
    <w:rsid w:val="73210D6E"/>
    <w:rsid w:val="733A0C49"/>
    <w:rsid w:val="734A79B4"/>
    <w:rsid w:val="7355581F"/>
    <w:rsid w:val="7367040F"/>
    <w:rsid w:val="738F4397"/>
    <w:rsid w:val="73934EFB"/>
    <w:rsid w:val="73C4767E"/>
    <w:rsid w:val="73C64D7F"/>
    <w:rsid w:val="73DF5529"/>
    <w:rsid w:val="73F53E0F"/>
    <w:rsid w:val="74133181"/>
    <w:rsid w:val="74167D9D"/>
    <w:rsid w:val="741A6149"/>
    <w:rsid w:val="742337EE"/>
    <w:rsid w:val="742D1D9A"/>
    <w:rsid w:val="742F2BB2"/>
    <w:rsid w:val="74547743"/>
    <w:rsid w:val="74595D5B"/>
    <w:rsid w:val="747320C4"/>
    <w:rsid w:val="74764A70"/>
    <w:rsid w:val="747F7285"/>
    <w:rsid w:val="748A075F"/>
    <w:rsid w:val="749649DF"/>
    <w:rsid w:val="74C12A19"/>
    <w:rsid w:val="74CD20AE"/>
    <w:rsid w:val="74D22613"/>
    <w:rsid w:val="74DB35C2"/>
    <w:rsid w:val="74DD260E"/>
    <w:rsid w:val="74E66079"/>
    <w:rsid w:val="74F64BBC"/>
    <w:rsid w:val="74FF07D6"/>
    <w:rsid w:val="752A5C03"/>
    <w:rsid w:val="756066B3"/>
    <w:rsid w:val="75763A6F"/>
    <w:rsid w:val="75792336"/>
    <w:rsid w:val="75795EB8"/>
    <w:rsid w:val="759D3B71"/>
    <w:rsid w:val="759E118B"/>
    <w:rsid w:val="75A53D56"/>
    <w:rsid w:val="75A60C51"/>
    <w:rsid w:val="75A942BF"/>
    <w:rsid w:val="75AA330D"/>
    <w:rsid w:val="75B218B5"/>
    <w:rsid w:val="75CB1748"/>
    <w:rsid w:val="75CE2CD1"/>
    <w:rsid w:val="75D76ED9"/>
    <w:rsid w:val="75E15B72"/>
    <w:rsid w:val="75F7189A"/>
    <w:rsid w:val="76016E34"/>
    <w:rsid w:val="7620086F"/>
    <w:rsid w:val="76256B4D"/>
    <w:rsid w:val="764F12E9"/>
    <w:rsid w:val="76540581"/>
    <w:rsid w:val="76AA5DD4"/>
    <w:rsid w:val="76D5285B"/>
    <w:rsid w:val="76DB1E0E"/>
    <w:rsid w:val="76ED7A62"/>
    <w:rsid w:val="76F22A1E"/>
    <w:rsid w:val="76F36118"/>
    <w:rsid w:val="771C566F"/>
    <w:rsid w:val="771F2A69"/>
    <w:rsid w:val="776158EB"/>
    <w:rsid w:val="77B95C51"/>
    <w:rsid w:val="77BF0E6D"/>
    <w:rsid w:val="77C37873"/>
    <w:rsid w:val="77C703A2"/>
    <w:rsid w:val="77D957F0"/>
    <w:rsid w:val="77F01ACF"/>
    <w:rsid w:val="78010269"/>
    <w:rsid w:val="782904CA"/>
    <w:rsid w:val="78334AC8"/>
    <w:rsid w:val="78462CCB"/>
    <w:rsid w:val="78465AD2"/>
    <w:rsid w:val="785B21C7"/>
    <w:rsid w:val="78807F41"/>
    <w:rsid w:val="788E0A87"/>
    <w:rsid w:val="78912898"/>
    <w:rsid w:val="7899684C"/>
    <w:rsid w:val="78BC00A9"/>
    <w:rsid w:val="78C33ADA"/>
    <w:rsid w:val="78DB1D47"/>
    <w:rsid w:val="78EE4818"/>
    <w:rsid w:val="78F07DC8"/>
    <w:rsid w:val="78F14D7D"/>
    <w:rsid w:val="790B3712"/>
    <w:rsid w:val="790F6B0E"/>
    <w:rsid w:val="791F371C"/>
    <w:rsid w:val="79226ACA"/>
    <w:rsid w:val="79437F21"/>
    <w:rsid w:val="794B3AC7"/>
    <w:rsid w:val="799502B0"/>
    <w:rsid w:val="799A65A0"/>
    <w:rsid w:val="79A10FCB"/>
    <w:rsid w:val="79A82273"/>
    <w:rsid w:val="79A90D63"/>
    <w:rsid w:val="79CC53B5"/>
    <w:rsid w:val="79D20E2E"/>
    <w:rsid w:val="79D533F0"/>
    <w:rsid w:val="79E9620E"/>
    <w:rsid w:val="79FD4ED1"/>
    <w:rsid w:val="7A2A2049"/>
    <w:rsid w:val="7A2E3A30"/>
    <w:rsid w:val="7A933510"/>
    <w:rsid w:val="7AA034D2"/>
    <w:rsid w:val="7AC7225E"/>
    <w:rsid w:val="7B6E1FFF"/>
    <w:rsid w:val="7B6F4548"/>
    <w:rsid w:val="7B864205"/>
    <w:rsid w:val="7B8C4DF7"/>
    <w:rsid w:val="7BB0282A"/>
    <w:rsid w:val="7BC40D97"/>
    <w:rsid w:val="7BC77B74"/>
    <w:rsid w:val="7BCE0A6D"/>
    <w:rsid w:val="7BE251AC"/>
    <w:rsid w:val="7C04296C"/>
    <w:rsid w:val="7C0E12FE"/>
    <w:rsid w:val="7C1F46EF"/>
    <w:rsid w:val="7C3221BC"/>
    <w:rsid w:val="7C3A77B8"/>
    <w:rsid w:val="7C4601A3"/>
    <w:rsid w:val="7C482BC9"/>
    <w:rsid w:val="7C7010E5"/>
    <w:rsid w:val="7C7C79EB"/>
    <w:rsid w:val="7C7E62FE"/>
    <w:rsid w:val="7C9C4B5C"/>
    <w:rsid w:val="7CA37C99"/>
    <w:rsid w:val="7CA705C1"/>
    <w:rsid w:val="7CD16D5D"/>
    <w:rsid w:val="7CE610C8"/>
    <w:rsid w:val="7CEF1130"/>
    <w:rsid w:val="7D11554A"/>
    <w:rsid w:val="7D2267CC"/>
    <w:rsid w:val="7D50549D"/>
    <w:rsid w:val="7D512412"/>
    <w:rsid w:val="7D643172"/>
    <w:rsid w:val="7D707466"/>
    <w:rsid w:val="7D8B470C"/>
    <w:rsid w:val="7D9314C1"/>
    <w:rsid w:val="7DA73B0A"/>
    <w:rsid w:val="7E024C90"/>
    <w:rsid w:val="7E057904"/>
    <w:rsid w:val="7E1B1D6A"/>
    <w:rsid w:val="7E223400"/>
    <w:rsid w:val="7E586858"/>
    <w:rsid w:val="7E8B335F"/>
    <w:rsid w:val="7E8C146E"/>
    <w:rsid w:val="7E8E272F"/>
    <w:rsid w:val="7E8F5FB2"/>
    <w:rsid w:val="7E9B63FC"/>
    <w:rsid w:val="7EB51A20"/>
    <w:rsid w:val="7ECC2314"/>
    <w:rsid w:val="7ED45422"/>
    <w:rsid w:val="7F0B604E"/>
    <w:rsid w:val="7F5C6600"/>
    <w:rsid w:val="7F876B95"/>
    <w:rsid w:val="7FB65B72"/>
    <w:rsid w:val="7FDE56DC"/>
    <w:rsid w:val="7FE1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link w:val="48"/>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widowControl/>
      <w:spacing w:before="280" w:after="290" w:line="372" w:lineRule="auto"/>
      <w:jc w:val="left"/>
      <w:outlineLvl w:val="4"/>
    </w:pPr>
    <w:rPr>
      <w:b/>
      <w:bCs/>
      <w:kern w:val="0"/>
      <w:sz w:val="28"/>
      <w:szCs w:val="28"/>
    </w:rPr>
  </w:style>
  <w:style w:type="paragraph" w:styleId="7">
    <w:name w:val="heading 6"/>
    <w:basedOn w:val="1"/>
    <w:next w:val="1"/>
    <w:qFormat/>
    <w:uiPriority w:val="0"/>
    <w:pPr>
      <w:keepNext/>
      <w:keepLines/>
      <w:widowControl/>
      <w:tabs>
        <w:tab w:val="left" w:pos="1440"/>
      </w:tabs>
      <w:spacing w:before="240" w:after="64" w:line="320" w:lineRule="auto"/>
      <w:jc w:val="center"/>
      <w:outlineLvl w:val="5"/>
    </w:pPr>
    <w:rPr>
      <w:rFonts w:ascii="Arial" w:hAnsi="Arial" w:eastAsia="黑体"/>
      <w:bCs/>
      <w:kern w:val="0"/>
      <w:sz w:val="24"/>
    </w:rPr>
  </w:style>
  <w:style w:type="paragraph" w:styleId="8">
    <w:name w:val="heading 7"/>
    <w:basedOn w:val="1"/>
    <w:next w:val="1"/>
    <w:qFormat/>
    <w:uiPriority w:val="0"/>
    <w:pPr>
      <w:keepNext/>
      <w:keepLines/>
      <w:widowControl/>
      <w:tabs>
        <w:tab w:val="left" w:pos="2520"/>
      </w:tabs>
      <w:spacing w:before="240" w:after="64" w:line="320" w:lineRule="auto"/>
      <w:jc w:val="center"/>
      <w:outlineLvl w:val="6"/>
    </w:pPr>
    <w:rPr>
      <w:bCs/>
      <w:kern w:val="0"/>
      <w:sz w:val="24"/>
    </w:rPr>
  </w:style>
  <w:style w:type="paragraph" w:styleId="9">
    <w:name w:val="heading 8"/>
    <w:basedOn w:val="1"/>
    <w:next w:val="1"/>
    <w:qFormat/>
    <w:uiPriority w:val="0"/>
    <w:pPr>
      <w:keepNext/>
      <w:keepLines/>
      <w:widowControl/>
      <w:tabs>
        <w:tab w:val="left" w:pos="1440"/>
      </w:tabs>
      <w:spacing w:before="240" w:after="64" w:line="320" w:lineRule="auto"/>
      <w:jc w:val="center"/>
      <w:outlineLvl w:val="7"/>
    </w:pPr>
    <w:rPr>
      <w:rFonts w:ascii="Arial" w:hAnsi="Arial" w:eastAsia="黑体"/>
      <w:b/>
      <w:kern w:val="0"/>
      <w:sz w:val="24"/>
    </w:rPr>
  </w:style>
  <w:style w:type="paragraph" w:styleId="10">
    <w:name w:val="heading 9"/>
    <w:basedOn w:val="1"/>
    <w:next w:val="1"/>
    <w:qFormat/>
    <w:uiPriority w:val="0"/>
    <w:pPr>
      <w:keepNext/>
      <w:keepLines/>
      <w:widowControl/>
      <w:tabs>
        <w:tab w:val="left" w:pos="1584"/>
      </w:tabs>
      <w:spacing w:before="240" w:after="64" w:line="320" w:lineRule="auto"/>
      <w:jc w:val="center"/>
      <w:outlineLvl w:val="8"/>
    </w:pPr>
    <w:rPr>
      <w:rFonts w:ascii="Arial" w:hAnsi="Arial" w:eastAsia="黑体"/>
      <w:b/>
      <w:kern w:val="0"/>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qFormat/>
    <w:uiPriority w:val="0"/>
    <w:pPr>
      <w:shd w:val="clear" w:color="auto" w:fill="000080"/>
    </w:pPr>
  </w:style>
  <w:style w:type="paragraph" w:styleId="13">
    <w:name w:val="annotation text"/>
    <w:basedOn w:val="1"/>
    <w:link w:val="49"/>
    <w:qFormat/>
    <w:uiPriority w:val="99"/>
    <w:pPr>
      <w:jc w:val="left"/>
    </w:pPr>
  </w:style>
  <w:style w:type="paragraph" w:styleId="14">
    <w:name w:val="Body Text"/>
    <w:basedOn w:val="1"/>
    <w:next w:val="1"/>
    <w:qFormat/>
    <w:uiPriority w:val="0"/>
    <w:pPr>
      <w:spacing w:after="120"/>
    </w:pPr>
  </w:style>
  <w:style w:type="paragraph" w:styleId="15">
    <w:name w:val="Body Text Indent"/>
    <w:basedOn w:val="1"/>
    <w:next w:val="1"/>
    <w:qFormat/>
    <w:uiPriority w:val="0"/>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b/>
      <w:szCs w:val="20"/>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50"/>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Subtitle"/>
    <w:basedOn w:val="1"/>
    <w:next w:val="1"/>
    <w:qFormat/>
    <w:uiPriority w:val="11"/>
    <w:pPr>
      <w:spacing w:before="240" w:after="60" w:line="312" w:lineRule="auto"/>
      <w:jc w:val="center"/>
      <w:outlineLvl w:val="1"/>
    </w:pPr>
    <w:rPr>
      <w:rFonts w:ascii="Arial" w:hAnsi="Arial" w:cs="Arial"/>
      <w:b/>
      <w:bCs/>
      <w:kern w:val="28"/>
      <w:sz w:val="32"/>
      <w:szCs w:val="32"/>
    </w:rPr>
  </w:style>
  <w:style w:type="paragraph" w:styleId="25">
    <w:name w:val="toc 2"/>
    <w:basedOn w:val="1"/>
    <w:next w:val="1"/>
    <w:qFormat/>
    <w:uiPriority w:val="39"/>
    <w:pPr>
      <w:ind w:left="420" w:leftChars="200"/>
    </w:pPr>
  </w:style>
  <w:style w:type="paragraph" w:styleId="26">
    <w:name w:val="Body Text 2"/>
    <w:basedOn w:val="1"/>
    <w:unhideWhenUsed/>
    <w:qFormat/>
    <w:uiPriority w:val="99"/>
    <w:pPr>
      <w:spacing w:after="120" w:line="480" w:lineRule="auto"/>
    </w:pPr>
  </w:style>
  <w:style w:type="paragraph" w:styleId="27">
    <w:name w:val="Normal (Web)"/>
    <w:basedOn w:val="1"/>
    <w:qFormat/>
    <w:uiPriority w:val="0"/>
    <w:pPr>
      <w:jc w:val="left"/>
    </w:pPr>
    <w:rPr>
      <w:kern w:val="0"/>
      <w:sz w:val="24"/>
    </w:rPr>
  </w:style>
  <w:style w:type="paragraph" w:styleId="28">
    <w:name w:val="Title"/>
    <w:basedOn w:val="1"/>
    <w:qFormat/>
    <w:uiPriority w:val="0"/>
    <w:pPr>
      <w:widowControl/>
      <w:spacing w:before="240" w:after="60"/>
      <w:jc w:val="center"/>
      <w:outlineLvl w:val="0"/>
    </w:pPr>
    <w:rPr>
      <w:rFonts w:ascii="Arial" w:hAnsi="Arial" w:cs="Arial"/>
      <w:b/>
      <w:bCs/>
      <w:kern w:val="0"/>
      <w:sz w:val="44"/>
      <w:szCs w:val="32"/>
    </w:rPr>
  </w:style>
  <w:style w:type="paragraph" w:styleId="29">
    <w:name w:val="annotation subject"/>
    <w:basedOn w:val="13"/>
    <w:next w:val="13"/>
    <w:link w:val="51"/>
    <w:qFormat/>
    <w:uiPriority w:val="0"/>
    <w:rPr>
      <w:b/>
      <w:bCs/>
    </w:rPr>
  </w:style>
  <w:style w:type="paragraph" w:styleId="30">
    <w:name w:val="Body Text First Indent"/>
    <w:basedOn w:val="14"/>
    <w:qFormat/>
    <w:uiPriority w:val="0"/>
    <w:pPr>
      <w:ind w:firstLine="420" w:firstLineChars="100"/>
    </w:pPr>
  </w:style>
  <w:style w:type="paragraph" w:styleId="31">
    <w:name w:val="Body Text First Indent 2"/>
    <w:basedOn w:val="15"/>
    <w:next w:val="1"/>
    <w:unhideWhenUsed/>
    <w:qFormat/>
    <w:uiPriority w:val="99"/>
    <w:pPr>
      <w:ind w:firstLine="420" w:firstLineChars="200"/>
    </w:pPr>
  </w:style>
  <w:style w:type="character" w:styleId="34">
    <w:name w:val="Strong"/>
    <w:qFormat/>
    <w:uiPriority w:val="0"/>
    <w:rPr>
      <w:rFonts w:ascii="Times New Roman" w:hAnsi="Times New Roman" w:eastAsia="宋体" w:cs="Times New Roman"/>
      <w:szCs w:val="20"/>
    </w:rPr>
  </w:style>
  <w:style w:type="character" w:styleId="35">
    <w:name w:val="page number"/>
    <w:qFormat/>
    <w:uiPriority w:val="0"/>
    <w:rPr>
      <w:rFonts w:ascii="Times New Roman" w:hAnsi="Times New Roman" w:eastAsia="宋体" w:cs="Times New Roman"/>
      <w:szCs w:val="20"/>
    </w:rPr>
  </w:style>
  <w:style w:type="character" w:styleId="36">
    <w:name w:val="FollowedHyperlink"/>
    <w:qFormat/>
    <w:uiPriority w:val="0"/>
    <w:rPr>
      <w:rFonts w:ascii="Times New Roman" w:hAnsi="Times New Roman" w:eastAsia="宋体" w:cs="Times New Roman"/>
      <w:color w:val="800080"/>
      <w:u w:val="single"/>
    </w:rPr>
  </w:style>
  <w:style w:type="character" w:styleId="37">
    <w:name w:val="Emphasis"/>
    <w:qFormat/>
    <w:uiPriority w:val="0"/>
    <w:rPr>
      <w:rFonts w:ascii="Times New Roman" w:hAnsi="Times New Roman" w:eastAsia="宋体" w:cs="Times New Roman"/>
      <w:szCs w:val="20"/>
    </w:rPr>
  </w:style>
  <w:style w:type="character" w:styleId="38">
    <w:name w:val="HTML Definition"/>
    <w:qFormat/>
    <w:uiPriority w:val="0"/>
    <w:rPr>
      <w:rFonts w:ascii="Times New Roman" w:hAnsi="Times New Roman" w:eastAsia="宋体" w:cs="Times New Roman"/>
      <w:szCs w:val="20"/>
    </w:rPr>
  </w:style>
  <w:style w:type="character" w:styleId="39">
    <w:name w:val="HTML Typewriter"/>
    <w:qFormat/>
    <w:uiPriority w:val="0"/>
    <w:rPr>
      <w:rFonts w:hint="default" w:ascii="monospace" w:hAnsi="monospace" w:eastAsia="monospace" w:cs="monospace"/>
      <w:sz w:val="20"/>
      <w:szCs w:val="20"/>
    </w:rPr>
  </w:style>
  <w:style w:type="character" w:styleId="40">
    <w:name w:val="HTML Acronym"/>
    <w:qFormat/>
    <w:uiPriority w:val="0"/>
  </w:style>
  <w:style w:type="character" w:styleId="41">
    <w:name w:val="HTML Variable"/>
    <w:qFormat/>
    <w:uiPriority w:val="0"/>
    <w:rPr>
      <w:rFonts w:ascii="Times New Roman" w:hAnsi="Times New Roman" w:eastAsia="宋体" w:cs="Times New Roman"/>
      <w:szCs w:val="20"/>
    </w:rPr>
  </w:style>
  <w:style w:type="character" w:styleId="42">
    <w:name w:val="Hyperlink"/>
    <w:qFormat/>
    <w:uiPriority w:val="99"/>
    <w:rPr>
      <w:rFonts w:ascii="Times New Roman" w:hAnsi="Times New Roman" w:eastAsia="宋体" w:cs="Times New Roman"/>
      <w:color w:val="0000FF"/>
      <w:u w:val="single"/>
    </w:rPr>
  </w:style>
  <w:style w:type="character" w:styleId="43">
    <w:name w:val="HTML Code"/>
    <w:qFormat/>
    <w:uiPriority w:val="0"/>
    <w:rPr>
      <w:rFonts w:hint="default" w:ascii="monospace" w:hAnsi="monospace" w:eastAsia="monospace" w:cs="monospace"/>
      <w:sz w:val="20"/>
      <w:szCs w:val="20"/>
    </w:rPr>
  </w:style>
  <w:style w:type="character" w:styleId="44">
    <w:name w:val="annotation reference"/>
    <w:qFormat/>
    <w:uiPriority w:val="0"/>
    <w:rPr>
      <w:rFonts w:ascii="Times New Roman" w:hAnsi="Times New Roman" w:eastAsia="宋体" w:cs="Times New Roman"/>
      <w:sz w:val="21"/>
      <w:szCs w:val="21"/>
    </w:rPr>
  </w:style>
  <w:style w:type="character" w:styleId="45">
    <w:name w:val="HTML Cite"/>
    <w:qFormat/>
    <w:uiPriority w:val="0"/>
    <w:rPr>
      <w:rFonts w:ascii="Times New Roman" w:hAnsi="Times New Roman" w:eastAsia="宋体" w:cs="Times New Roman"/>
      <w:szCs w:val="20"/>
    </w:rPr>
  </w:style>
  <w:style w:type="character" w:styleId="46">
    <w:name w:val="HTML Keyboard"/>
    <w:qFormat/>
    <w:uiPriority w:val="0"/>
    <w:rPr>
      <w:rFonts w:ascii="monospace" w:hAnsi="monospace" w:eastAsia="monospace" w:cs="monospace"/>
      <w:sz w:val="20"/>
      <w:szCs w:val="20"/>
    </w:rPr>
  </w:style>
  <w:style w:type="character" w:styleId="47">
    <w:name w:val="HTML Sample"/>
    <w:qFormat/>
    <w:uiPriority w:val="0"/>
    <w:rPr>
      <w:rFonts w:hint="default" w:ascii="monospace" w:hAnsi="monospace" w:eastAsia="monospace" w:cs="monospace"/>
      <w:szCs w:val="20"/>
    </w:rPr>
  </w:style>
  <w:style w:type="character" w:customStyle="1" w:styleId="48">
    <w:name w:val="标题 2 字符"/>
    <w:link w:val="3"/>
    <w:qFormat/>
    <w:uiPriority w:val="0"/>
    <w:rPr>
      <w:rFonts w:ascii="Cambria" w:hAnsi="Cambria" w:eastAsia="宋体" w:cs="Times New Roman"/>
      <w:b/>
      <w:bCs/>
      <w:kern w:val="2"/>
      <w:sz w:val="32"/>
      <w:szCs w:val="32"/>
    </w:rPr>
  </w:style>
  <w:style w:type="character" w:customStyle="1" w:styleId="49">
    <w:name w:val="批注文字 字符"/>
    <w:link w:val="13"/>
    <w:qFormat/>
    <w:uiPriority w:val="99"/>
    <w:rPr>
      <w:rFonts w:ascii="Times New Roman" w:hAnsi="Times New Roman" w:eastAsia="宋体" w:cs="Times New Roman"/>
      <w:kern w:val="2"/>
      <w:sz w:val="21"/>
      <w:szCs w:val="24"/>
    </w:rPr>
  </w:style>
  <w:style w:type="character" w:customStyle="1" w:styleId="50">
    <w:name w:val="页脚 字符"/>
    <w:link w:val="21"/>
    <w:qFormat/>
    <w:uiPriority w:val="0"/>
    <w:rPr>
      <w:rFonts w:ascii="Times New Roman" w:hAnsi="Times New Roman" w:eastAsia="宋体" w:cs="Times New Roman"/>
      <w:kern w:val="2"/>
      <w:sz w:val="18"/>
      <w:szCs w:val="18"/>
      <w:lang w:val="en-US" w:eastAsia="zh-CN" w:bidi="ar-SA"/>
    </w:rPr>
  </w:style>
  <w:style w:type="character" w:customStyle="1" w:styleId="51">
    <w:name w:val="批注主题 字符"/>
    <w:link w:val="29"/>
    <w:qFormat/>
    <w:uiPriority w:val="0"/>
    <w:rPr>
      <w:rFonts w:ascii="Times New Roman" w:hAnsi="Times New Roman" w:eastAsia="宋体" w:cs="Times New Roman"/>
      <w:b/>
      <w:bCs/>
      <w:kern w:val="2"/>
      <w:sz w:val="21"/>
      <w:szCs w:val="24"/>
    </w:rPr>
  </w:style>
  <w:style w:type="character" w:customStyle="1" w:styleId="52">
    <w:name w:val="current"/>
    <w:qFormat/>
    <w:uiPriority w:val="0"/>
    <w:rPr>
      <w:rFonts w:ascii="Times New Roman" w:hAnsi="Times New Roman" w:eastAsia="宋体" w:cs="Times New Roman"/>
      <w:b/>
      <w:color w:val="FF6500"/>
      <w:szCs w:val="20"/>
      <w:bdr w:val="single" w:color="FF6500" w:sz="4" w:space="0"/>
      <w:shd w:val="clear" w:color="auto" w:fill="FFBE94"/>
    </w:rPr>
  </w:style>
  <w:style w:type="character" w:customStyle="1" w:styleId="53">
    <w:name w:val="样式 粉红"/>
    <w:qFormat/>
    <w:uiPriority w:val="0"/>
    <w:rPr>
      <w:color w:val="auto"/>
      <w:u w:val="none"/>
    </w:rPr>
  </w:style>
  <w:style w:type="character" w:customStyle="1" w:styleId="54">
    <w:name w:val="Char Char"/>
    <w:qFormat/>
    <w:uiPriority w:val="0"/>
    <w:rPr>
      <w:rFonts w:ascii="宋体" w:hAnsi="Courier New" w:eastAsia="宋体" w:cs="Times New Roman"/>
      <w:b/>
      <w:kern w:val="2"/>
      <w:sz w:val="21"/>
      <w:szCs w:val="20"/>
      <w:lang w:val="en-US" w:eastAsia="zh-CN" w:bidi="ar-SA"/>
    </w:rPr>
  </w:style>
  <w:style w:type="character" w:customStyle="1" w:styleId="55">
    <w:name w:val="页码1"/>
    <w:qFormat/>
    <w:uiPriority w:val="0"/>
    <w:rPr>
      <w:rFonts w:ascii="Times New Roman" w:hAnsi="Times New Roman" w:eastAsia="宋体" w:cs="Times New Roman"/>
      <w:szCs w:val="20"/>
    </w:rPr>
  </w:style>
  <w:style w:type="character" w:customStyle="1" w:styleId="56">
    <w:name w:val="disabled"/>
    <w:qFormat/>
    <w:uiPriority w:val="0"/>
    <w:rPr>
      <w:rFonts w:ascii="Times New Roman" w:hAnsi="Times New Roman" w:eastAsia="宋体" w:cs="Times New Roman"/>
      <w:color w:val="FFE3C6"/>
      <w:szCs w:val="20"/>
      <w:bdr w:val="single" w:color="FFE3C6" w:sz="4" w:space="0"/>
    </w:rPr>
  </w:style>
  <w:style w:type="paragraph" w:customStyle="1" w:styleId="57">
    <w:name w:val="表头2"/>
    <w:basedOn w:val="58"/>
    <w:qFormat/>
    <w:uiPriority w:val="0"/>
    <w:pPr>
      <w:spacing w:line="240" w:lineRule="auto"/>
      <w:ind w:left="0" w:right="0" w:firstLine="0"/>
    </w:pPr>
    <w:rPr>
      <w:b/>
    </w:rPr>
  </w:style>
  <w:style w:type="paragraph" w:customStyle="1" w:styleId="58">
    <w:name w:val="表头1"/>
    <w:basedOn w:val="59"/>
    <w:qFormat/>
    <w:uiPriority w:val="0"/>
    <w:pPr>
      <w:spacing w:line="360" w:lineRule="auto"/>
    </w:pPr>
  </w:style>
  <w:style w:type="paragraph" w:customStyle="1" w:styleId="59">
    <w:name w:val="表内文"/>
    <w:basedOn w:val="1"/>
    <w:qFormat/>
    <w:uiPriority w:val="0"/>
    <w:pPr>
      <w:ind w:left="-528" w:right="240" w:firstLine="528" w:firstLineChars="220"/>
      <w:jc w:val="center"/>
    </w:pPr>
    <w:rPr>
      <w:bCs/>
    </w:rPr>
  </w:style>
  <w:style w:type="paragraph" w:customStyle="1" w:styleId="60">
    <w:name w:val="正  文"/>
    <w:basedOn w:val="1"/>
    <w:qFormat/>
    <w:uiPriority w:val="0"/>
    <w:pPr>
      <w:spacing w:line="360" w:lineRule="auto"/>
      <w:ind w:firstLine="200" w:firstLineChars="200"/>
    </w:pPr>
    <w:rPr>
      <w:rFonts w:ascii="宋体"/>
      <w:sz w:val="24"/>
    </w:rPr>
  </w:style>
  <w:style w:type="paragraph" w:customStyle="1" w:styleId="61">
    <w:name w:val="Char Char Char Char Char Char"/>
    <w:basedOn w:val="2"/>
    <w:qFormat/>
    <w:uiPriority w:val="0"/>
    <w:pPr>
      <w:keepLines w:val="0"/>
      <w:numPr>
        <w:ilvl w:val="0"/>
        <w:numId w:val="1"/>
      </w:numPr>
      <w:tabs>
        <w:tab w:val="left" w:pos="887"/>
      </w:tabs>
      <w:snapToGrid w:val="0"/>
      <w:ind w:left="887" w:firstLine="200" w:firstLineChars="200"/>
      <w:jc w:val="center"/>
    </w:pPr>
    <w:rPr>
      <w:rFonts w:ascii="黑体" w:hAnsi="BatangChe" w:eastAsia="黑体"/>
      <w:b w:val="0"/>
      <w:bCs w:val="0"/>
      <w:kern w:val="2"/>
      <w:szCs w:val="32"/>
    </w:rPr>
  </w:style>
  <w:style w:type="paragraph" w:customStyle="1" w:styleId="62">
    <w:name w:val="Table Paragraph"/>
    <w:basedOn w:val="1"/>
    <w:qFormat/>
    <w:uiPriority w:val="1"/>
    <w:pPr>
      <w:autoSpaceDE w:val="0"/>
      <w:autoSpaceDN w:val="0"/>
      <w:adjustRightInd w:val="0"/>
      <w:jc w:val="left"/>
    </w:pPr>
    <w:rPr>
      <w:kern w:val="0"/>
      <w:sz w:val="24"/>
    </w:rPr>
  </w:style>
  <w:style w:type="paragraph" w:customStyle="1" w:styleId="63">
    <w:name w:val="Char"/>
    <w:basedOn w:val="12"/>
    <w:qFormat/>
    <w:uiPriority w:val="0"/>
    <w:rPr>
      <w:kern w:val="0"/>
      <w:sz w:val="20"/>
      <w:szCs w:val="20"/>
    </w:rPr>
  </w:style>
  <w:style w:type="paragraph" w:customStyle="1" w:styleId="64">
    <w:name w:val="样式 标题 2 + Times New Roman 四号 非加粗 段前: 5 磅 段后: 0 磅 行距: 固定值 20..."/>
    <w:basedOn w:val="3"/>
    <w:qFormat/>
    <w:uiPriority w:val="0"/>
    <w:pPr>
      <w:spacing w:before="100" w:after="0" w:line="400" w:lineRule="exact"/>
    </w:pPr>
    <w:rPr>
      <w:rFonts w:ascii="Times New Roman" w:hAnsi="Times New Roman"/>
      <w:b w:val="0"/>
      <w:bCs w:val="0"/>
      <w:sz w:val="28"/>
      <w:szCs w:val="20"/>
    </w:rPr>
  </w:style>
  <w:style w:type="paragraph" w:customStyle="1" w:styleId="65">
    <w:name w:val="表内1"/>
    <w:basedOn w:val="59"/>
    <w:qFormat/>
    <w:uiPriority w:val="0"/>
    <w:pPr>
      <w:ind w:left="96" w:hanging="96" w:hangingChars="40"/>
    </w:pPr>
    <w:rPr>
      <w:rFonts w:eastAsia="仿宋_GB2312"/>
      <w:bCs w:val="0"/>
      <w:color w:val="000000"/>
      <w:sz w:val="20"/>
      <w:szCs w:val="32"/>
    </w:rPr>
  </w:style>
  <w:style w:type="paragraph" w:customStyle="1" w:styleId="66">
    <w:name w:val="文"/>
    <w:basedOn w:val="17"/>
    <w:semiHidden/>
    <w:qFormat/>
    <w:uiPriority w:val="0"/>
    <w:pPr>
      <w:tabs>
        <w:tab w:val="left" w:pos="1134"/>
      </w:tabs>
      <w:spacing w:before="20" w:after="20" w:line="300" w:lineRule="auto"/>
      <w:ind w:left="1134"/>
      <w:jc w:val="center"/>
    </w:pPr>
    <w:rPr>
      <w:rFonts w:ascii="Arial" w:hAnsi="Arial"/>
      <w:color w:val="000000"/>
    </w:rPr>
  </w:style>
  <w:style w:type="paragraph" w:customStyle="1" w:styleId="67">
    <w:name w:val="金安桥正文"/>
    <w:basedOn w:val="15"/>
    <w:qFormat/>
    <w:uiPriority w:val="0"/>
    <w:pPr>
      <w:adjustRightInd w:val="0"/>
      <w:spacing w:line="300" w:lineRule="auto"/>
      <w:ind w:firstLine="200" w:firstLineChars="200"/>
      <w:jc w:val="left"/>
    </w:pPr>
    <w:rPr>
      <w:kern w:val="0"/>
      <w:sz w:val="24"/>
      <w:szCs w:val="20"/>
    </w:rPr>
  </w:style>
  <w:style w:type="paragraph" w:customStyle="1" w:styleId="68">
    <w:name w:val="Char Char1"/>
    <w:basedOn w:val="1"/>
    <w:qFormat/>
    <w:uiPriority w:val="0"/>
    <w:pPr>
      <w:widowControl/>
      <w:jc w:val="center"/>
    </w:pPr>
    <w:rPr>
      <w:rFonts w:ascii="Tahoma" w:hAnsi="Tahoma"/>
      <w:b/>
      <w:kern w:val="0"/>
      <w:sz w:val="24"/>
      <w:szCs w:val="20"/>
    </w:rPr>
  </w:style>
  <w:style w:type="paragraph" w:customStyle="1" w:styleId="69">
    <w:name w:val="表内2"/>
    <w:basedOn w:val="65"/>
    <w:qFormat/>
    <w:uiPriority w:val="0"/>
    <w:pPr>
      <w:spacing w:line="360" w:lineRule="exact"/>
      <w:ind w:left="-528" w:firstLine="0" w:firstLineChars="0"/>
    </w:pPr>
    <w:rPr>
      <w:rFonts w:eastAsia="宋体"/>
      <w:bCs/>
      <w:color w:val="auto"/>
      <w:spacing w:val="-20"/>
      <w:sz w:val="24"/>
      <w:szCs w:val="20"/>
    </w:rPr>
  </w:style>
  <w:style w:type="paragraph" w:customStyle="1" w:styleId="70">
    <w:name w:val="表内文1"/>
    <w:basedOn w:val="1"/>
    <w:qFormat/>
    <w:uiPriority w:val="0"/>
    <w:pPr>
      <w:ind w:firstLine="2400" w:firstLineChars="1000"/>
      <w:jc w:val="center"/>
    </w:pPr>
  </w:style>
  <w:style w:type="paragraph" w:customStyle="1" w:styleId="7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styleId="72">
    <w:name w:val="List Paragraph"/>
    <w:basedOn w:val="1"/>
    <w:qFormat/>
    <w:uiPriority w:val="1"/>
    <w:pPr>
      <w:ind w:firstLine="420" w:firstLineChars="200"/>
    </w:pPr>
    <w:rPr>
      <w:rFonts w:ascii="Calibri" w:hAnsi="Calibri"/>
      <w:szCs w:val="22"/>
    </w:rPr>
  </w:style>
  <w:style w:type="paragraph" w:customStyle="1" w:styleId="7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74">
    <w:name w:val="表头"/>
    <w:basedOn w:val="70"/>
    <w:qFormat/>
    <w:uiPriority w:val="0"/>
    <w:pPr>
      <w:tabs>
        <w:tab w:val="left" w:pos="1800"/>
      </w:tabs>
      <w:spacing w:line="360" w:lineRule="auto"/>
      <w:ind w:firstLine="0" w:firstLineChars="0"/>
    </w:pPr>
    <w:rPr>
      <w:b/>
      <w:bCs/>
    </w:rPr>
  </w:style>
  <w:style w:type="paragraph" w:customStyle="1" w:styleId="75">
    <w:name w:val="Char Char Char Char"/>
    <w:basedOn w:val="1"/>
    <w:qFormat/>
    <w:uiPriority w:val="0"/>
    <w:pPr>
      <w:spacing w:line="360" w:lineRule="auto"/>
      <w:ind w:firstLine="200" w:firstLineChars="200"/>
    </w:pPr>
    <w:rPr>
      <w:rFonts w:ascii="宋体" w:hAnsi="宋体" w:cs="宋体"/>
      <w:sz w:val="24"/>
    </w:rPr>
  </w:style>
  <w:style w:type="paragraph" w:customStyle="1" w:styleId="76">
    <w:name w:val="p0"/>
    <w:basedOn w:val="1"/>
    <w:qFormat/>
    <w:uiPriority w:val="0"/>
    <w:pPr>
      <w:widowControl/>
      <w:jc w:val="center"/>
    </w:pPr>
    <w:rPr>
      <w:b/>
      <w:bCs/>
      <w:kern w:val="0"/>
      <w:sz w:val="44"/>
      <w:szCs w:val="44"/>
    </w:rPr>
  </w:style>
  <w:style w:type="paragraph" w:customStyle="1" w:styleId="77">
    <w:name w:val="默认段落字体 Para Char Char Char Char"/>
    <w:basedOn w:val="1"/>
    <w:qFormat/>
    <w:uiPriority w:val="0"/>
    <w:rPr>
      <w:szCs w:val="20"/>
    </w:rPr>
  </w:style>
  <w:style w:type="paragraph" w:customStyle="1" w:styleId="78">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customStyle="1" w:styleId="79">
    <w:name w:val="标准"/>
    <w:basedOn w:val="1"/>
    <w:qFormat/>
    <w:uiPriority w:val="0"/>
    <w:pPr>
      <w:ind w:firstLine="883"/>
      <w:jc w:val="center"/>
    </w:pPr>
    <w:rPr>
      <w:b/>
      <w:sz w:val="44"/>
      <w:szCs w:val="44"/>
    </w:rPr>
  </w:style>
  <w:style w:type="paragraph" w:customStyle="1" w:styleId="80">
    <w:name w:val="目录"/>
    <w:basedOn w:val="1"/>
    <w:qFormat/>
    <w:uiPriority w:val="0"/>
    <w:pPr>
      <w:widowControl/>
      <w:jc w:val="center"/>
    </w:pPr>
    <w:rPr>
      <w:rFonts w:ascii="宋体"/>
      <w:kern w:val="0"/>
      <w:sz w:val="36"/>
      <w:szCs w:val="20"/>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reader-word-layer reader-word-s14-15"/>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_Style 5"/>
    <w:basedOn w:val="1"/>
    <w:qFormat/>
    <w:uiPriority w:val="0"/>
    <w:pPr>
      <w:spacing w:line="360" w:lineRule="auto"/>
      <w:ind w:firstLine="200" w:firstLineChars="200"/>
    </w:pPr>
  </w:style>
  <w:style w:type="paragraph" w:customStyle="1" w:styleId="85">
    <w:name w:val="样式1"/>
    <w:basedOn w:val="1"/>
    <w:next w:val="5"/>
    <w:qFormat/>
    <w:uiPriority w:val="0"/>
    <w:pPr>
      <w:spacing w:line="360" w:lineRule="auto"/>
      <w:ind w:firstLine="420" w:firstLineChars="200"/>
    </w:pPr>
    <w:rPr>
      <w:rFonts w:ascii="宋体" w:hAnsi="宋体"/>
      <w:szCs w:val="21"/>
    </w:rPr>
  </w:style>
  <w:style w:type="paragraph" w:customStyle="1" w:styleId="86">
    <w:name w:val="XW正文"/>
    <w:basedOn w:val="15"/>
    <w:qFormat/>
    <w:uiPriority w:val="0"/>
    <w:pPr>
      <w:adjustRightInd w:val="0"/>
      <w:snapToGrid w:val="0"/>
      <w:spacing w:line="300" w:lineRule="auto"/>
      <w:ind w:firstLine="520" w:firstLineChars="200"/>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12XZ</Company>
  <Pages>52</Pages>
  <Words>17404</Words>
  <Characters>19178</Characters>
  <Lines>184</Lines>
  <Paragraphs>51</Paragraphs>
  <TotalTime>2</TotalTime>
  <ScaleCrop>false</ScaleCrop>
  <LinksUpToDate>false</LinksUpToDate>
  <CharactersWithSpaces>22838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2024-05-22T11:16:00Z</dcterms:created>
  <dc:creator>dxm</dc:creator>
  <cp:lastModifiedBy>拾光</cp:lastModifiedBy>
  <cp:lastPrinted>2023-02-24T01:35:00Z</cp:lastPrinted>
  <dcterms:modified xsi:type="dcterms:W3CDTF">2024-05-24T09:58:15Z</dcterms:modified>
  <dc:title>附件二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72304FB330B84CA4A84703BB596EE52A_13</vt:lpwstr>
  </property>
</Properties>
</file>